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D9" w:rsidRDefault="00DA71D9" w:rsidP="00DA71D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object w:dxaOrig="983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4" o:title=""/>
          </v:shape>
          <o:OLEObject Type="Embed" ProgID="Word.Document.8" ShapeID="_x0000_i1025" DrawAspect="Content" ObjectID="_1485768232" r:id="rId5"/>
        </w:object>
      </w:r>
    </w:p>
    <w:p w:rsidR="00DA71D9" w:rsidRDefault="00DA71D9" w:rsidP="00DA71D9">
      <w:pPr>
        <w:pStyle w:val="a3"/>
        <w:jc w:val="center"/>
        <w:rPr>
          <w:rFonts w:ascii="Times New Roman" w:hAnsi="Times New Roman" w:cs="Times New Roman"/>
          <w:sz w:val="28"/>
          <w:lang w:val="uk-UA" w:eastAsia="ar-SA"/>
        </w:rPr>
      </w:pPr>
      <w:r>
        <w:rPr>
          <w:rFonts w:ascii="Times New Roman" w:hAnsi="Times New Roman" w:cs="Times New Roman"/>
          <w:b/>
          <w:spacing w:val="80"/>
          <w:sz w:val="28"/>
          <w:lang w:val="uk-UA"/>
        </w:rPr>
        <w:t>УКРАЇНА</w:t>
      </w:r>
    </w:p>
    <w:p w:rsidR="00DA71D9" w:rsidRDefault="00DA71D9" w:rsidP="00DA71D9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ДОБРЯНСЬКА СІЛЬСЬКА РАДА</w:t>
      </w:r>
    </w:p>
    <w:p w:rsidR="00DA71D9" w:rsidRDefault="00DA71D9" w:rsidP="00DA71D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ТЯЧІВСЬКОГО  РАЙОНУ ЗАКАРПА</w:t>
      </w:r>
      <w:r>
        <w:rPr>
          <w:rFonts w:ascii="Times New Roman" w:hAnsi="Times New Roman" w:cs="Times New Roman"/>
          <w:sz w:val="28"/>
        </w:rPr>
        <w:t>ТСЬКОЇ  ОБЛАСТІ</w:t>
      </w:r>
    </w:p>
    <w:p w:rsidR="00DA71D9" w:rsidRDefault="00DA71D9" w:rsidP="00DA71D9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Двадцять восьма</w:t>
      </w:r>
      <w:r>
        <w:rPr>
          <w:rFonts w:ascii="Times New Roman" w:hAnsi="Times New Roman" w:cs="Times New Roman"/>
          <w:b/>
          <w:sz w:val="28"/>
        </w:rPr>
        <w:t xml:space="preserve"> сесія  шостого скликання</w:t>
      </w:r>
    </w:p>
    <w:p w:rsidR="00DA71D9" w:rsidRDefault="00DA71D9" w:rsidP="00DA71D9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Друге пленарне засідання</w:t>
      </w:r>
    </w:p>
    <w:p w:rsidR="00DA71D9" w:rsidRDefault="00DA71D9" w:rsidP="00DA71D9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</w:rPr>
        <w:t xml:space="preserve">Р  І  Ш  Е  Н  </w:t>
      </w:r>
      <w:proofErr w:type="gramStart"/>
      <w:r>
        <w:rPr>
          <w:rFonts w:ascii="Times New Roman" w:hAnsi="Times New Roman" w:cs="Times New Roman"/>
          <w:b/>
          <w:sz w:val="28"/>
        </w:rPr>
        <w:t>Н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Я</w:t>
      </w:r>
    </w:p>
    <w:p w:rsidR="00DA71D9" w:rsidRDefault="00DA71D9" w:rsidP="00DA71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30 січня  2015 року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251</w:t>
      </w:r>
    </w:p>
    <w:p w:rsidR="00DA71D9" w:rsidRDefault="00DA71D9" w:rsidP="00DA71D9">
      <w:pPr>
        <w:keepNext/>
        <w:outlineLvl w:val="3"/>
        <w:rPr>
          <w:rFonts w:eastAsia="Calibri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Добрянське</w:t>
      </w:r>
    </w:p>
    <w:p w:rsidR="00DA71D9" w:rsidRDefault="00DA71D9" w:rsidP="00DA71D9">
      <w:pPr>
        <w:tabs>
          <w:tab w:val="left" w:pos="540"/>
          <w:tab w:val="left" w:pos="720"/>
        </w:tabs>
        <w:suppressAutoHyphens/>
        <w:jc w:val="right"/>
        <w:rPr>
          <w:sz w:val="28"/>
          <w:szCs w:val="28"/>
          <w:lang w:val="uk-UA"/>
        </w:rPr>
      </w:pPr>
    </w:p>
    <w:p w:rsidR="00DA71D9" w:rsidRDefault="00DA71D9" w:rsidP="00DA71D9">
      <w:pPr>
        <w:suppressAutoHyphens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справляння єдиного податку та</w:t>
      </w:r>
    </w:p>
    <w:p w:rsidR="00DA71D9" w:rsidRDefault="00DA71D9" w:rsidP="00DA71D9">
      <w:pPr>
        <w:suppressAutoHyphens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встановлення ставок цього податку</w:t>
      </w:r>
    </w:p>
    <w:p w:rsidR="00DA71D9" w:rsidRDefault="00DA71D9" w:rsidP="00DA71D9">
      <w:pPr>
        <w:suppressAutoHyphens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території Тячівської  міської  ради  в</w:t>
      </w:r>
    </w:p>
    <w:p w:rsidR="00DA71D9" w:rsidRDefault="00DA71D9" w:rsidP="00DA71D9">
      <w:pPr>
        <w:suppressAutoHyphens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2015 році.</w:t>
      </w:r>
    </w:p>
    <w:p w:rsidR="00DA71D9" w:rsidRDefault="00DA71D9" w:rsidP="00DA71D9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Відповідно до статей 10, 291 - 300 Податкового Кодексу України (в редакції Закону  України від 28 грудня 2014 року №71-УІІІ «Про внесення змін  до Податкового Кодексу України та деяких законодавчих актів України щодо податкової реформи»), статей 26 та 69 Закону України «Про місцеве самоврядування в Україні» двадцять восьма  сесія шостого скликання Добрянської сільської ради </w:t>
      </w:r>
    </w:p>
    <w:p w:rsidR="00DA71D9" w:rsidRDefault="00DA71D9" w:rsidP="00DA71D9">
      <w:pPr>
        <w:suppressAutoHyphens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Л А:</w:t>
      </w:r>
      <w:r>
        <w:rPr>
          <w:sz w:val="28"/>
          <w:szCs w:val="28"/>
          <w:lang w:val="uk-UA"/>
        </w:rPr>
        <w:t xml:space="preserve">    </w:t>
      </w:r>
    </w:p>
    <w:p w:rsidR="00DA71D9" w:rsidRDefault="00DA71D9" w:rsidP="00DA71D9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Встановити, що на території Добрянської міської ради з 01 січня 2015 року діє спрощена система оподаткування відповідно до статей 291-300 Податкового Кодексу України (в редакції Закону  України від 28 грудня 2014 року №71-УІІІ «Про внесення змін  до Податкового Кодексу України та деяких законодавчих актів України щодо податкової реформи»).</w:t>
      </w:r>
    </w:p>
    <w:p w:rsidR="00DA71D9" w:rsidRDefault="00DA71D9" w:rsidP="00DA71D9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 Встановити, що з 1 січня 2015 року до першої та другої груп платників єдиного податку згідно ст. 291.4 Податкового Кодексу України відносяться:</w:t>
      </w:r>
    </w:p>
    <w:p w:rsidR="00DA71D9" w:rsidRDefault="00DA71D9" w:rsidP="00DA71D9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2.1. Перша група – фізичні особи – підприємці, які не використовують працю найманих осіб, здійснюють виключно роздрібний продаж товарів з торгівельних місць на ринках та/або проводять господарську діяльність з надання побутових послуг населенню і обсяг доходу яких протягом календарного року не перевищує 300 000 гривень (підпункт 1 пункту 291.4 статті 291 Податкового кодексу України).</w:t>
      </w:r>
    </w:p>
    <w:p w:rsidR="00DA71D9" w:rsidRDefault="00DA71D9" w:rsidP="00DA71D9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2.2. Друга група – фізичні особи – підприємці, які здійснюють господарську діяльність з надання послуг, у тому числі побутових, платникам єдиного податку та/або населенню, виробництво та/або продаж товарів, діяльність у сфері ресторанного господарства, за умови, що протягом календарного року відповідають сукупності таких критеріїв ( підпункт 1, абзаци один – три підпункту  2 пункту 291.4 ст. 291  Податкового Кодексу):</w:t>
      </w:r>
    </w:p>
    <w:p w:rsidR="00DA71D9" w:rsidRDefault="00DA71D9" w:rsidP="00DA71D9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не використовують працю найманих осіб або кількість осіб, які перебувають з ними у трудових відносинах, одночасно не перевищує 10 осіб;</w:t>
      </w:r>
    </w:p>
    <w:p w:rsidR="00DA71D9" w:rsidRDefault="00DA71D9" w:rsidP="00DA71D9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 обсяг доходу не перевищує 1 500 000 грн.  </w:t>
      </w:r>
    </w:p>
    <w:p w:rsidR="00DA71D9" w:rsidRDefault="00DA71D9" w:rsidP="00DA71D9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3.Продовжити дію додатків № 1 та № 2 до рішення Добрянської сільської ради від  16 січня 2012 року №75  «Про встановлення ставок єдиного податку» </w:t>
      </w:r>
    </w:p>
    <w:p w:rsidR="00DA71D9" w:rsidRDefault="00DA71D9" w:rsidP="00DA71D9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 Державній податковій інспекції у Тячівському районі вжити заходи щодо правильності нарахування та забезпечення повноти сплати платниками єдиного податку коштів в дохід сільського бюджету згідно діючого законодавства та цього рішення.</w:t>
      </w:r>
    </w:p>
    <w:p w:rsidR="00DA71D9" w:rsidRDefault="00DA71D9" w:rsidP="00DA71D9">
      <w:pPr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 5.  </w:t>
      </w:r>
      <w:r>
        <w:rPr>
          <w:sz w:val="28"/>
          <w:lang w:val="uk-UA"/>
        </w:rPr>
        <w:t>Контроль за виконанням цього рішення покласти на комісію з питань бюджету, управління майном та контролю за проведенням приватизації (голова комісії Дочинець О.А.).</w:t>
      </w:r>
    </w:p>
    <w:p w:rsidR="00DA71D9" w:rsidRDefault="00DA71D9" w:rsidP="00DA71D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A71D9" w:rsidRDefault="00DA71D9" w:rsidP="00DA71D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A71D9" w:rsidRDefault="00DA71D9" w:rsidP="00DA71D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 голова                                                     І.М.Токар</w:t>
      </w:r>
    </w:p>
    <w:p w:rsidR="00DA71D9" w:rsidRDefault="00DA71D9" w:rsidP="00DA71D9">
      <w:pPr>
        <w:tabs>
          <w:tab w:val="left" w:pos="540"/>
          <w:tab w:val="left" w:pos="720"/>
        </w:tabs>
        <w:suppressAutoHyphens/>
        <w:jc w:val="right"/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object w:dxaOrig="983" w:dyaOrig="1160">
          <v:shape id="_x0000_i1026" type="#_x0000_t75" style="width:39.75pt;height:47.25pt" o:ole="" filled="t">
            <v:fill color2="black"/>
            <v:imagedata r:id="rId4" o:title=""/>
          </v:shape>
          <o:OLEObject Type="Embed" ProgID="Word.Document.8" ShapeID="_x0000_i1026" DrawAspect="Content" ObjectID="_1485768233" r:id="rId6"/>
        </w:object>
      </w:r>
    </w:p>
    <w:p w:rsidR="00DA71D9" w:rsidRDefault="00DA71D9" w:rsidP="00DA71D9">
      <w:pPr>
        <w:pStyle w:val="a3"/>
        <w:jc w:val="center"/>
        <w:rPr>
          <w:rFonts w:ascii="Times New Roman" w:hAnsi="Times New Roman" w:cs="Times New Roman"/>
          <w:sz w:val="28"/>
          <w:lang w:val="uk-UA" w:eastAsia="ar-SA"/>
        </w:rPr>
      </w:pPr>
      <w:r>
        <w:rPr>
          <w:rFonts w:ascii="Times New Roman" w:hAnsi="Times New Roman" w:cs="Times New Roman"/>
          <w:b/>
          <w:spacing w:val="80"/>
          <w:sz w:val="28"/>
          <w:lang w:val="uk-UA"/>
        </w:rPr>
        <w:t>УКРАЇНА</w:t>
      </w:r>
    </w:p>
    <w:p w:rsidR="00DA71D9" w:rsidRDefault="00DA71D9" w:rsidP="00DA71D9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ДОБРЯНСЬКА СІЛЬСЬКА РАДА</w:t>
      </w:r>
    </w:p>
    <w:p w:rsidR="00DA71D9" w:rsidRDefault="00DA71D9" w:rsidP="00DA71D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ТЯЧІВСЬКОГО  РАЙОНУ ЗАКАРПА</w:t>
      </w:r>
      <w:r>
        <w:rPr>
          <w:rFonts w:ascii="Times New Roman" w:hAnsi="Times New Roman" w:cs="Times New Roman"/>
          <w:sz w:val="28"/>
        </w:rPr>
        <w:t>ТСЬКОЇ  ОБЛАСТІ</w:t>
      </w:r>
    </w:p>
    <w:p w:rsidR="00DA71D9" w:rsidRDefault="00DA71D9" w:rsidP="00DA71D9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Двадцять восьма</w:t>
      </w:r>
      <w:r>
        <w:rPr>
          <w:rFonts w:ascii="Times New Roman" w:hAnsi="Times New Roman" w:cs="Times New Roman"/>
          <w:b/>
          <w:sz w:val="28"/>
        </w:rPr>
        <w:t xml:space="preserve"> сесія  шостого скликання</w:t>
      </w:r>
    </w:p>
    <w:p w:rsidR="00DA71D9" w:rsidRDefault="00DA71D9" w:rsidP="00DA71D9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Друге пленарне засідання</w:t>
      </w:r>
    </w:p>
    <w:p w:rsidR="00DA71D9" w:rsidRDefault="00DA71D9" w:rsidP="00DA71D9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</w:rPr>
        <w:t xml:space="preserve">Р  І  Ш  Е  Н  </w:t>
      </w:r>
      <w:proofErr w:type="gramStart"/>
      <w:r>
        <w:rPr>
          <w:rFonts w:ascii="Times New Roman" w:hAnsi="Times New Roman" w:cs="Times New Roman"/>
          <w:b/>
          <w:sz w:val="28"/>
        </w:rPr>
        <w:t>Н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Я</w:t>
      </w:r>
    </w:p>
    <w:p w:rsidR="00DA71D9" w:rsidRDefault="00DA71D9" w:rsidP="00DA71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30 січня  2015 року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252</w:t>
      </w:r>
    </w:p>
    <w:p w:rsidR="00DA71D9" w:rsidRDefault="00DA71D9" w:rsidP="00DA71D9">
      <w:pPr>
        <w:keepNext/>
        <w:outlineLvl w:val="3"/>
        <w:rPr>
          <w:rFonts w:eastAsia="Calibri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Добрянське</w:t>
      </w: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2"/>
        <w:gridCol w:w="3972"/>
      </w:tblGrid>
      <w:tr w:rsidR="00DA71D9" w:rsidTr="00DA71D9"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71D9" w:rsidRDefault="00DA71D9">
            <w:pPr>
              <w:keepNext/>
              <w:spacing w:line="276" w:lineRule="auto"/>
              <w:jc w:val="both"/>
              <w:outlineLvl w:val="3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 xml:space="preserve">Про встановлення ставок, надання пільг та порядок справляння земельного податку у 2015 році на території Добрянської сільської ради 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DA71D9" w:rsidRDefault="00DA71D9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</w:p>
        </w:tc>
      </w:tr>
    </w:tbl>
    <w:p w:rsidR="00DA71D9" w:rsidRDefault="00DA71D9" w:rsidP="00DA71D9">
      <w:pPr>
        <w:keepNext/>
        <w:spacing w:before="240" w:after="60"/>
        <w:ind w:left="-180" w:right="355"/>
        <w:jc w:val="both"/>
        <w:outlineLvl w:val="2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             Відповідно до Податкового Кодексу України (в редакції Закону України від 28.12.2014 року № 71-</w:t>
      </w:r>
      <w:r>
        <w:rPr>
          <w:rFonts w:eastAsia="Calibri"/>
          <w:bCs/>
          <w:sz w:val="28"/>
          <w:szCs w:val="28"/>
          <w:lang w:val="en-US"/>
        </w:rPr>
        <w:t>V</w:t>
      </w:r>
      <w:r>
        <w:rPr>
          <w:rFonts w:eastAsia="Calibri"/>
          <w:bCs/>
          <w:sz w:val="28"/>
          <w:szCs w:val="28"/>
          <w:lang w:val="uk-UA"/>
        </w:rPr>
        <w:t>ІІІ “Про внесення змін до Податкового Кодексу України та деяких законодавчих актів України щодо податкової реформи ”, Закону України “Про місцеве самоврядування в Україні ”, двадцять восьма  (друге пленарне засідання) сесія Добрянської сільської ради</w:t>
      </w:r>
    </w:p>
    <w:p w:rsidR="00DA71D9" w:rsidRDefault="00DA71D9" w:rsidP="00DA71D9">
      <w:pPr>
        <w:keepNext/>
        <w:tabs>
          <w:tab w:val="left" w:pos="8340"/>
        </w:tabs>
        <w:spacing w:before="240" w:after="60"/>
        <w:ind w:left="-180" w:right="355"/>
        <w:jc w:val="both"/>
        <w:outlineLvl w:val="2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ВИРІШИЛА :</w:t>
      </w:r>
      <w:r>
        <w:rPr>
          <w:rFonts w:eastAsia="Calibri"/>
          <w:b/>
          <w:bCs/>
          <w:sz w:val="28"/>
          <w:szCs w:val="28"/>
          <w:lang w:val="uk-UA"/>
        </w:rPr>
        <w:tab/>
      </w:r>
    </w:p>
    <w:p w:rsidR="00DA71D9" w:rsidRDefault="00DA71D9" w:rsidP="00DA71D9">
      <w:pPr>
        <w:ind w:left="-180" w:right="355" w:firstLine="72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 Встановити, що справляння земельного податку з 1 січня 2015 року здійснюється відповідно до норм статей 269-290 Податкового Кодексу України (в редакції Закону України від 28.12.2014 року № 71-VІІІ “Про внесення змін до Податкового Кодексу України та деяких законодавчих актів України щодо податкової реформи ”).</w:t>
      </w:r>
    </w:p>
    <w:p w:rsidR="00DA71D9" w:rsidRDefault="00DA71D9" w:rsidP="00DA71D9">
      <w:pPr>
        <w:ind w:left="-180" w:right="355" w:firstLine="720"/>
        <w:jc w:val="both"/>
        <w:rPr>
          <w:rFonts w:eastAsia="Calibri"/>
          <w:sz w:val="28"/>
          <w:szCs w:val="28"/>
          <w:lang w:val="uk-UA"/>
        </w:rPr>
      </w:pPr>
    </w:p>
    <w:p w:rsidR="00DA71D9" w:rsidRDefault="00DA71D9" w:rsidP="00DA71D9">
      <w:pPr>
        <w:ind w:left="-180" w:right="355" w:firstLine="72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2. Встановити ставку земельного податку на 2015 рік: </w:t>
      </w:r>
    </w:p>
    <w:p w:rsidR="00DA71D9" w:rsidRDefault="00DA71D9" w:rsidP="00DA71D9">
      <w:pPr>
        <w:ind w:left="-180" w:right="355" w:firstLine="720"/>
        <w:jc w:val="both"/>
        <w:rPr>
          <w:rFonts w:eastAsia="Calibri"/>
          <w:sz w:val="28"/>
          <w:szCs w:val="28"/>
          <w:lang w:val="uk-UA"/>
        </w:rPr>
      </w:pPr>
    </w:p>
    <w:p w:rsidR="00DA71D9" w:rsidRDefault="00DA71D9" w:rsidP="00DA71D9">
      <w:pPr>
        <w:ind w:left="-180" w:right="355" w:firstLine="72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2.1. Для сільськогосподарських угідь – в розмірі 0,02% від їх нормативно-грошової оцінки.</w:t>
      </w:r>
    </w:p>
    <w:p w:rsidR="00DA71D9" w:rsidRDefault="00DA71D9" w:rsidP="00DA71D9">
      <w:pPr>
        <w:ind w:left="-180" w:right="355" w:firstLine="720"/>
        <w:jc w:val="both"/>
        <w:rPr>
          <w:rFonts w:eastAsia="Calibri"/>
          <w:sz w:val="28"/>
          <w:szCs w:val="28"/>
          <w:lang w:val="uk-UA"/>
        </w:rPr>
      </w:pPr>
    </w:p>
    <w:p w:rsidR="00DA71D9" w:rsidRDefault="00DA71D9" w:rsidP="00DA71D9">
      <w:pPr>
        <w:ind w:left="-180" w:right="355" w:firstLine="72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2.2. Для земельних ділянок виділених для будівництва та обслуговування житлових будинків, господарських будівель та споруд (присадибна ділянка), – в розмірі 0,4% від їх нормативно-грошової оцінки згідно меж економіко-планувальних зон.</w:t>
      </w:r>
    </w:p>
    <w:p w:rsidR="00DA71D9" w:rsidRDefault="00DA71D9" w:rsidP="00DA71D9">
      <w:pPr>
        <w:ind w:left="-180" w:right="355" w:firstLine="720"/>
        <w:jc w:val="both"/>
        <w:rPr>
          <w:rFonts w:eastAsia="Calibri"/>
          <w:sz w:val="28"/>
          <w:szCs w:val="28"/>
          <w:lang w:val="uk-UA"/>
        </w:rPr>
      </w:pPr>
    </w:p>
    <w:p w:rsidR="00DA71D9" w:rsidRDefault="00DA71D9" w:rsidP="00DA71D9">
      <w:pPr>
        <w:ind w:left="-180" w:right="355" w:firstLine="72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2.3. Для земельних ділянок несільськогосподарського призначення комерційного використання та ділянок, які зайняті під виробничими та господарськими будівлями та спорудами фізичних та юридичних осіб, які здійснюють підприємницьку діяльність на території с.Добрянське, - в розмірі 3% від нормативно-грошової оцінки. </w:t>
      </w:r>
    </w:p>
    <w:p w:rsidR="00DA71D9" w:rsidRDefault="00DA71D9" w:rsidP="00DA71D9">
      <w:pPr>
        <w:ind w:left="-180" w:right="355" w:firstLine="720"/>
        <w:jc w:val="both"/>
        <w:rPr>
          <w:rFonts w:eastAsia="Calibri"/>
          <w:sz w:val="28"/>
          <w:szCs w:val="28"/>
          <w:lang w:val="uk-UA"/>
        </w:rPr>
      </w:pPr>
    </w:p>
    <w:p w:rsidR="00DA71D9" w:rsidRDefault="00DA71D9" w:rsidP="00DA71D9">
      <w:pPr>
        <w:ind w:left="-180" w:right="355" w:firstLine="72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2.4. Для земельних ділянок, які перебувають у постійному користуванні суб’єктів господарювання (крім державної та комунальної власності), з власниками яких не укладено договори оренди на земельні ділянки, -  в розмірі 2% від нормативно-грошової оцінки на території села Добрянське.</w:t>
      </w:r>
    </w:p>
    <w:p w:rsidR="00DA71D9" w:rsidRDefault="00DA71D9" w:rsidP="00DA71D9">
      <w:pPr>
        <w:ind w:left="-180" w:right="355" w:firstLine="72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3. Звільнити від сплати земельного податку органи державної влади та органи місцевого самоврядування; органи прокуратури; заклади, установи та організації, які повністю утримуються за рахунок коштів державного та місцевих бюджетів; дошкільні та загальноосвітні навчальні заклади незалежно від форм власності і джерел фінансування; заклади культури, науки, освіти, охорони здоров’я, соціального захисту, фізичної культури та спорту, які повністю утримуються за рахунок коштів державного або місцевого бюджету. </w:t>
      </w:r>
    </w:p>
    <w:p w:rsidR="00DA71D9" w:rsidRDefault="00DA71D9" w:rsidP="00DA71D9">
      <w:pPr>
        <w:ind w:left="-180" w:right="355" w:firstLine="72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4. Державній податковій інспекції у Тячівському районі вжити заходи щодо правильності нарахування та забезпечення повноти сплати коштів платниками земельного податку в дохід бюджету згідно діючого законодавства та цього рішення.</w:t>
      </w:r>
    </w:p>
    <w:p w:rsidR="00DA71D9" w:rsidRDefault="00DA71D9" w:rsidP="00DA71D9">
      <w:pPr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5. </w:t>
      </w:r>
      <w:r>
        <w:rPr>
          <w:sz w:val="28"/>
          <w:szCs w:val="28"/>
          <w:lang w:val="uk-UA"/>
        </w:rPr>
        <w:t xml:space="preserve">Контроль  </w:t>
      </w:r>
      <w:r>
        <w:rPr>
          <w:sz w:val="28"/>
          <w:szCs w:val="28"/>
        </w:rPr>
        <w:t xml:space="preserve">за  виконанням  </w:t>
      </w:r>
      <w:r>
        <w:rPr>
          <w:sz w:val="28"/>
          <w:szCs w:val="28"/>
          <w:lang w:val="uk-UA"/>
        </w:rPr>
        <w:t>ць</w:t>
      </w:r>
      <w:r>
        <w:rPr>
          <w:sz w:val="28"/>
          <w:szCs w:val="28"/>
        </w:rPr>
        <w:t>ого  рішення  покладається  на  постійну  комісію  з  питань  охорони навколишнього середовища, раціонального використання природних ресурсів та рекреації та з питань агропромислового комплексу, земельних ресурсів та розвитку села.</w:t>
      </w:r>
    </w:p>
    <w:p w:rsidR="00DA71D9" w:rsidRDefault="00DA71D9" w:rsidP="00DA71D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A71D9" w:rsidRDefault="00DA71D9" w:rsidP="00DA71D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A71D9" w:rsidRDefault="00DA71D9" w:rsidP="00DA71D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 голова                                                     І.М.Токар</w:t>
      </w:r>
    </w:p>
    <w:p w:rsidR="00DA71D9" w:rsidRDefault="00DA71D9" w:rsidP="00DA71D9">
      <w:pPr>
        <w:tabs>
          <w:tab w:val="left" w:pos="540"/>
          <w:tab w:val="left" w:pos="720"/>
        </w:tabs>
        <w:suppressAutoHyphens/>
        <w:jc w:val="right"/>
        <w:rPr>
          <w:sz w:val="28"/>
          <w:szCs w:val="28"/>
          <w:lang w:val="uk-UA"/>
        </w:rPr>
      </w:pPr>
    </w:p>
    <w:p w:rsidR="00DA71D9" w:rsidRDefault="00DA71D9" w:rsidP="00DA71D9">
      <w:pPr>
        <w:tabs>
          <w:tab w:val="left" w:pos="540"/>
          <w:tab w:val="left" w:pos="720"/>
        </w:tabs>
        <w:suppressAutoHyphens/>
        <w:jc w:val="right"/>
        <w:rPr>
          <w:sz w:val="28"/>
          <w:szCs w:val="28"/>
          <w:lang w:val="uk-UA"/>
        </w:rPr>
      </w:pPr>
    </w:p>
    <w:p w:rsidR="00DA71D9" w:rsidRDefault="00DA71D9" w:rsidP="00DA71D9">
      <w:pPr>
        <w:tabs>
          <w:tab w:val="left" w:pos="540"/>
          <w:tab w:val="left" w:pos="720"/>
        </w:tabs>
        <w:suppressAutoHyphens/>
        <w:jc w:val="right"/>
        <w:rPr>
          <w:sz w:val="28"/>
          <w:szCs w:val="28"/>
          <w:lang w:val="uk-UA"/>
        </w:rPr>
      </w:pPr>
    </w:p>
    <w:p w:rsidR="00DA71D9" w:rsidRDefault="00DA71D9" w:rsidP="00DA71D9">
      <w:pPr>
        <w:tabs>
          <w:tab w:val="left" w:pos="540"/>
          <w:tab w:val="left" w:pos="720"/>
        </w:tabs>
        <w:suppressAutoHyphens/>
        <w:jc w:val="right"/>
        <w:rPr>
          <w:sz w:val="28"/>
          <w:szCs w:val="28"/>
          <w:lang w:val="uk-UA"/>
        </w:rPr>
      </w:pPr>
    </w:p>
    <w:p w:rsidR="00DA71D9" w:rsidRDefault="00DA71D9" w:rsidP="00DA71D9">
      <w:pPr>
        <w:tabs>
          <w:tab w:val="left" w:pos="540"/>
          <w:tab w:val="left" w:pos="720"/>
        </w:tabs>
        <w:suppressAutoHyphens/>
        <w:jc w:val="right"/>
        <w:rPr>
          <w:sz w:val="28"/>
          <w:szCs w:val="28"/>
          <w:lang w:val="uk-UA"/>
        </w:rPr>
      </w:pPr>
    </w:p>
    <w:p w:rsidR="00DA71D9" w:rsidRDefault="00DA71D9" w:rsidP="00DA71D9">
      <w:pPr>
        <w:tabs>
          <w:tab w:val="left" w:pos="540"/>
          <w:tab w:val="left" w:pos="720"/>
        </w:tabs>
        <w:suppressAutoHyphens/>
        <w:jc w:val="right"/>
        <w:rPr>
          <w:sz w:val="28"/>
          <w:szCs w:val="28"/>
          <w:lang w:val="uk-UA"/>
        </w:rPr>
      </w:pPr>
    </w:p>
    <w:p w:rsidR="00DA71D9" w:rsidRDefault="00DA71D9" w:rsidP="00DA71D9">
      <w:pPr>
        <w:tabs>
          <w:tab w:val="left" w:pos="540"/>
          <w:tab w:val="left" w:pos="720"/>
        </w:tabs>
        <w:suppressAutoHyphens/>
        <w:jc w:val="right"/>
        <w:rPr>
          <w:sz w:val="28"/>
          <w:szCs w:val="28"/>
          <w:lang w:val="uk-UA"/>
        </w:rPr>
      </w:pPr>
    </w:p>
    <w:p w:rsidR="00DA71D9" w:rsidRDefault="00DA71D9" w:rsidP="00DA71D9">
      <w:pPr>
        <w:tabs>
          <w:tab w:val="left" w:pos="540"/>
          <w:tab w:val="left" w:pos="720"/>
        </w:tabs>
        <w:suppressAutoHyphens/>
        <w:jc w:val="right"/>
        <w:rPr>
          <w:sz w:val="28"/>
          <w:szCs w:val="28"/>
          <w:lang w:val="uk-UA"/>
        </w:rPr>
      </w:pPr>
    </w:p>
    <w:p w:rsidR="00DA71D9" w:rsidRDefault="00DA71D9" w:rsidP="00DA71D9">
      <w:pPr>
        <w:tabs>
          <w:tab w:val="left" w:pos="540"/>
          <w:tab w:val="left" w:pos="720"/>
        </w:tabs>
        <w:suppressAutoHyphens/>
        <w:jc w:val="right"/>
        <w:rPr>
          <w:sz w:val="28"/>
          <w:szCs w:val="28"/>
          <w:lang w:val="uk-UA"/>
        </w:rPr>
      </w:pPr>
    </w:p>
    <w:p w:rsidR="00DA71D9" w:rsidRDefault="00DA71D9" w:rsidP="00DA71D9">
      <w:pPr>
        <w:tabs>
          <w:tab w:val="left" w:pos="540"/>
          <w:tab w:val="left" w:pos="720"/>
        </w:tabs>
        <w:suppressAutoHyphens/>
        <w:jc w:val="right"/>
        <w:rPr>
          <w:sz w:val="28"/>
          <w:szCs w:val="28"/>
          <w:lang w:val="uk-UA"/>
        </w:rPr>
      </w:pPr>
    </w:p>
    <w:p w:rsidR="00DA71D9" w:rsidRDefault="00DA71D9" w:rsidP="00DA71D9">
      <w:pPr>
        <w:tabs>
          <w:tab w:val="left" w:pos="540"/>
          <w:tab w:val="left" w:pos="720"/>
        </w:tabs>
        <w:suppressAutoHyphens/>
        <w:jc w:val="right"/>
        <w:rPr>
          <w:sz w:val="28"/>
          <w:szCs w:val="28"/>
          <w:lang w:val="uk-UA"/>
        </w:rPr>
      </w:pPr>
    </w:p>
    <w:p w:rsidR="00DA71D9" w:rsidRDefault="00DA71D9" w:rsidP="00DA71D9">
      <w:pPr>
        <w:tabs>
          <w:tab w:val="left" w:pos="540"/>
          <w:tab w:val="left" w:pos="720"/>
        </w:tabs>
        <w:suppressAutoHyphens/>
        <w:jc w:val="right"/>
        <w:rPr>
          <w:sz w:val="28"/>
          <w:szCs w:val="28"/>
          <w:lang w:val="uk-UA"/>
        </w:rPr>
      </w:pPr>
    </w:p>
    <w:p w:rsidR="00DA71D9" w:rsidRDefault="00DA71D9" w:rsidP="00DA71D9">
      <w:pPr>
        <w:tabs>
          <w:tab w:val="left" w:pos="540"/>
          <w:tab w:val="left" w:pos="720"/>
        </w:tabs>
        <w:suppressAutoHyphens/>
        <w:jc w:val="right"/>
        <w:rPr>
          <w:sz w:val="28"/>
          <w:szCs w:val="28"/>
          <w:lang w:val="uk-UA"/>
        </w:rPr>
      </w:pPr>
    </w:p>
    <w:p w:rsidR="00DA71D9" w:rsidRDefault="00DA71D9" w:rsidP="00DA71D9">
      <w:pPr>
        <w:tabs>
          <w:tab w:val="left" w:pos="540"/>
          <w:tab w:val="left" w:pos="720"/>
        </w:tabs>
        <w:suppressAutoHyphens/>
        <w:jc w:val="right"/>
        <w:rPr>
          <w:sz w:val="28"/>
          <w:szCs w:val="28"/>
          <w:lang w:val="uk-UA"/>
        </w:rPr>
      </w:pPr>
    </w:p>
    <w:p w:rsidR="00DA71D9" w:rsidRDefault="00DA71D9" w:rsidP="00DA71D9">
      <w:pPr>
        <w:tabs>
          <w:tab w:val="left" w:pos="540"/>
          <w:tab w:val="left" w:pos="720"/>
        </w:tabs>
        <w:suppressAutoHyphens/>
        <w:jc w:val="right"/>
        <w:rPr>
          <w:sz w:val="28"/>
          <w:szCs w:val="28"/>
          <w:lang w:val="uk-UA"/>
        </w:rPr>
      </w:pPr>
    </w:p>
    <w:p w:rsidR="00DA71D9" w:rsidRDefault="00DA71D9" w:rsidP="00DA71D9">
      <w:pPr>
        <w:tabs>
          <w:tab w:val="left" w:pos="540"/>
          <w:tab w:val="left" w:pos="720"/>
        </w:tabs>
        <w:suppressAutoHyphens/>
        <w:jc w:val="right"/>
        <w:rPr>
          <w:sz w:val="28"/>
          <w:szCs w:val="28"/>
          <w:lang w:val="uk-UA"/>
        </w:rPr>
      </w:pPr>
    </w:p>
    <w:p w:rsidR="00DA71D9" w:rsidRDefault="00DA71D9" w:rsidP="00DA71D9">
      <w:pPr>
        <w:tabs>
          <w:tab w:val="left" w:pos="540"/>
          <w:tab w:val="left" w:pos="720"/>
        </w:tabs>
        <w:suppressAutoHyphens/>
        <w:jc w:val="right"/>
        <w:rPr>
          <w:sz w:val="28"/>
          <w:szCs w:val="28"/>
          <w:lang w:val="uk-UA"/>
        </w:rPr>
      </w:pPr>
    </w:p>
    <w:p w:rsidR="00DA71D9" w:rsidRDefault="00DA71D9" w:rsidP="00DA71D9">
      <w:pPr>
        <w:tabs>
          <w:tab w:val="left" w:pos="540"/>
          <w:tab w:val="left" w:pos="720"/>
        </w:tabs>
        <w:suppressAutoHyphens/>
        <w:jc w:val="right"/>
        <w:rPr>
          <w:sz w:val="28"/>
          <w:szCs w:val="28"/>
          <w:lang w:val="uk-UA"/>
        </w:rPr>
      </w:pPr>
    </w:p>
    <w:p w:rsidR="00DA71D9" w:rsidRDefault="00DA71D9" w:rsidP="00DA71D9">
      <w:pPr>
        <w:tabs>
          <w:tab w:val="left" w:pos="540"/>
          <w:tab w:val="left" w:pos="720"/>
        </w:tabs>
        <w:suppressAutoHyphens/>
        <w:jc w:val="right"/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object w:dxaOrig="983" w:dyaOrig="1160">
          <v:shape id="_x0000_i1027" type="#_x0000_t75" style="width:39.75pt;height:47.25pt" o:ole="" filled="t">
            <v:fill color2="black"/>
            <v:imagedata r:id="rId4" o:title=""/>
          </v:shape>
          <o:OLEObject Type="Embed" ProgID="Word.Document.8" ShapeID="_x0000_i1027" DrawAspect="Content" ObjectID="_1485768234" r:id="rId7"/>
        </w:object>
      </w:r>
    </w:p>
    <w:p w:rsidR="00DA71D9" w:rsidRDefault="00DA71D9" w:rsidP="00DA71D9">
      <w:pPr>
        <w:pStyle w:val="a3"/>
        <w:jc w:val="center"/>
        <w:rPr>
          <w:rFonts w:ascii="Times New Roman" w:hAnsi="Times New Roman" w:cs="Times New Roman"/>
          <w:sz w:val="28"/>
          <w:lang w:val="uk-UA" w:eastAsia="ar-SA"/>
        </w:rPr>
      </w:pPr>
      <w:r>
        <w:rPr>
          <w:rFonts w:ascii="Times New Roman" w:hAnsi="Times New Roman" w:cs="Times New Roman"/>
          <w:b/>
          <w:spacing w:val="80"/>
          <w:sz w:val="28"/>
          <w:lang w:val="uk-UA"/>
        </w:rPr>
        <w:t>УКРАЇНА</w:t>
      </w:r>
    </w:p>
    <w:p w:rsidR="00DA71D9" w:rsidRDefault="00DA71D9" w:rsidP="00DA71D9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ДОБРЯНСЬКА СІЛЬСЬКА РАДА</w:t>
      </w:r>
    </w:p>
    <w:p w:rsidR="00DA71D9" w:rsidRDefault="00DA71D9" w:rsidP="00DA71D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ТЯЧІВСЬКОГО  РАЙОНУ ЗАКАРПА</w:t>
      </w:r>
      <w:r>
        <w:rPr>
          <w:rFonts w:ascii="Times New Roman" w:hAnsi="Times New Roman" w:cs="Times New Roman"/>
          <w:sz w:val="28"/>
        </w:rPr>
        <w:t>ТСЬКОЇ  ОБЛАСТІ</w:t>
      </w:r>
    </w:p>
    <w:p w:rsidR="00DA71D9" w:rsidRDefault="00DA71D9" w:rsidP="00DA71D9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Двадцять восьма</w:t>
      </w:r>
      <w:r>
        <w:rPr>
          <w:rFonts w:ascii="Times New Roman" w:hAnsi="Times New Roman" w:cs="Times New Roman"/>
          <w:b/>
          <w:sz w:val="28"/>
        </w:rPr>
        <w:t xml:space="preserve"> сесія  шостого скликання</w:t>
      </w:r>
    </w:p>
    <w:p w:rsidR="00DA71D9" w:rsidRDefault="00DA71D9" w:rsidP="00DA71D9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Друге пленарне засідання</w:t>
      </w:r>
    </w:p>
    <w:p w:rsidR="00DA71D9" w:rsidRDefault="00DA71D9" w:rsidP="00DA71D9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</w:rPr>
        <w:t xml:space="preserve">Р  І  Ш  Е  Н  </w:t>
      </w:r>
      <w:proofErr w:type="gramStart"/>
      <w:r>
        <w:rPr>
          <w:rFonts w:ascii="Times New Roman" w:hAnsi="Times New Roman" w:cs="Times New Roman"/>
          <w:b/>
          <w:sz w:val="28"/>
        </w:rPr>
        <w:t>Н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Я</w:t>
      </w:r>
    </w:p>
    <w:p w:rsidR="00DA71D9" w:rsidRDefault="00DA71D9" w:rsidP="00DA71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30 січня  2015 року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253</w:t>
      </w:r>
    </w:p>
    <w:p w:rsidR="00DA71D9" w:rsidRDefault="00DA71D9" w:rsidP="00DA71D9">
      <w:pPr>
        <w:keepNext/>
        <w:outlineLvl w:val="3"/>
        <w:rPr>
          <w:rFonts w:eastAsia="Calibri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Добрянське</w:t>
      </w:r>
    </w:p>
    <w:p w:rsidR="00DA71D9" w:rsidRDefault="00DA71D9" w:rsidP="00DA71D9">
      <w:pPr>
        <w:tabs>
          <w:tab w:val="left" w:pos="540"/>
          <w:tab w:val="left" w:pos="720"/>
        </w:tabs>
        <w:suppressAutoHyphens/>
        <w:jc w:val="right"/>
        <w:rPr>
          <w:sz w:val="28"/>
          <w:szCs w:val="28"/>
          <w:lang w:val="uk-UA"/>
        </w:rPr>
      </w:pPr>
    </w:p>
    <w:p w:rsidR="00DA71D9" w:rsidRDefault="00DA71D9" w:rsidP="00DA71D9">
      <w:pPr>
        <w:suppressAutoHyphens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справляння транспортного податку</w:t>
      </w:r>
    </w:p>
    <w:p w:rsidR="00DA71D9" w:rsidRDefault="00DA71D9" w:rsidP="00DA71D9">
      <w:pPr>
        <w:suppressAutoHyphens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території  Добрянської сільської  ради  в</w:t>
      </w:r>
    </w:p>
    <w:p w:rsidR="00DA71D9" w:rsidRDefault="00DA71D9" w:rsidP="00DA71D9">
      <w:pPr>
        <w:suppressAutoHyphens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2015 році.</w:t>
      </w:r>
    </w:p>
    <w:p w:rsidR="00DA71D9" w:rsidRDefault="00DA71D9" w:rsidP="00DA71D9">
      <w:pPr>
        <w:suppressAutoHyphens/>
        <w:jc w:val="both"/>
        <w:rPr>
          <w:sz w:val="28"/>
          <w:szCs w:val="28"/>
          <w:lang w:val="uk-UA"/>
        </w:rPr>
      </w:pPr>
    </w:p>
    <w:p w:rsidR="00DA71D9" w:rsidRDefault="00DA71D9" w:rsidP="00DA71D9">
      <w:pPr>
        <w:keepNext/>
        <w:spacing w:before="240" w:after="60"/>
        <w:ind w:left="-180" w:right="355"/>
        <w:jc w:val="both"/>
        <w:outlineLvl w:val="2"/>
        <w:rPr>
          <w:rFonts w:eastAsia="Calibri"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Відповідно до ст. ст. 10 та 267 Податкового Кодексу України (в редакції Закону  України від 28 грудня 2014 року № 71-УІІІ «Про внесення змін  до Податкового Кодексу України та деяких законодавчих актів України щодо податкової реформи»), ст. ст. 26 та 69 Закону України «Про місцеве самоврядування в Україні»</w:t>
      </w:r>
      <w:r>
        <w:rPr>
          <w:rFonts w:eastAsia="Calibri"/>
          <w:bCs/>
          <w:sz w:val="28"/>
          <w:szCs w:val="28"/>
          <w:lang w:val="uk-UA"/>
        </w:rPr>
        <w:t xml:space="preserve"> сесія Добрянської сільської ради</w:t>
      </w:r>
    </w:p>
    <w:p w:rsidR="00DA71D9" w:rsidRDefault="00DA71D9" w:rsidP="00DA71D9">
      <w:pPr>
        <w:keepNext/>
        <w:tabs>
          <w:tab w:val="left" w:pos="8340"/>
        </w:tabs>
        <w:spacing w:before="240" w:after="60"/>
        <w:ind w:left="-180" w:right="355"/>
        <w:jc w:val="both"/>
        <w:outlineLvl w:val="2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ВИРІШИЛА :</w:t>
      </w:r>
      <w:r>
        <w:rPr>
          <w:rFonts w:eastAsia="Calibri"/>
          <w:b/>
          <w:bCs/>
          <w:sz w:val="28"/>
          <w:szCs w:val="28"/>
          <w:lang w:val="uk-UA"/>
        </w:rPr>
        <w:tab/>
      </w:r>
    </w:p>
    <w:p w:rsidR="00DA71D9" w:rsidRDefault="00DA71D9" w:rsidP="00DA71D9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Встановити, що на території Добрянської сільської ради з 01 січня 2015 року справляється транспортний податок відповідно до статті 267 Податкового Кодексу України (в редакції Закону  України від 28 грудня 2014 року №71-УІІІ «Про внесення змін  до Податкового Кодексу України та деяких законодавчих актів України щодо податкової реформи»).</w:t>
      </w:r>
    </w:p>
    <w:p w:rsidR="00DA71D9" w:rsidRDefault="00DA71D9" w:rsidP="00DA71D9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 Державній податковій інспекції у Тячівському районі вжити заходи щодо правильності нарахування та забезпечення повноти сплати платниками транспортного податку коштів в дохід бюджету згідно діючого законодавства та цього рішення.</w:t>
      </w:r>
    </w:p>
    <w:p w:rsidR="00DA71D9" w:rsidRDefault="00DA71D9" w:rsidP="00DA71D9">
      <w:pPr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 3. </w:t>
      </w:r>
      <w:r>
        <w:rPr>
          <w:sz w:val="28"/>
          <w:lang w:val="uk-UA"/>
        </w:rPr>
        <w:t>Контроль за виконанням цього рішення покласти на комісію з питань бюджету,управління майном та контролю за проведенням приватизації (голова комісії Дочинець О.А.).</w:t>
      </w:r>
    </w:p>
    <w:p w:rsidR="00DA71D9" w:rsidRDefault="00DA71D9" w:rsidP="00DA71D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A71D9" w:rsidRDefault="00DA71D9" w:rsidP="00DA71D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A71D9" w:rsidRDefault="00DA71D9" w:rsidP="00DA71D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 голова                                                     І.М.Токар</w:t>
      </w:r>
    </w:p>
    <w:p w:rsidR="00DA71D9" w:rsidRDefault="00DA71D9" w:rsidP="00DA71D9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A71D9" w:rsidRDefault="00DA71D9" w:rsidP="00DA71D9">
      <w:pPr>
        <w:suppressAutoHyphens/>
        <w:rPr>
          <w:sz w:val="28"/>
          <w:szCs w:val="28"/>
          <w:lang w:val="uk-UA"/>
        </w:rPr>
      </w:pPr>
    </w:p>
    <w:p w:rsidR="00DA71D9" w:rsidRDefault="00DA71D9" w:rsidP="00DA71D9">
      <w:pPr>
        <w:suppressAutoHyphens/>
        <w:jc w:val="right"/>
        <w:rPr>
          <w:sz w:val="28"/>
          <w:szCs w:val="28"/>
          <w:lang w:val="uk-UA"/>
        </w:rPr>
      </w:pPr>
    </w:p>
    <w:p w:rsidR="00DA71D9" w:rsidRDefault="00DA71D9" w:rsidP="00DA71D9">
      <w:pPr>
        <w:suppressAutoHyphens/>
        <w:jc w:val="right"/>
        <w:rPr>
          <w:sz w:val="28"/>
          <w:szCs w:val="28"/>
          <w:lang w:val="uk-UA"/>
        </w:rPr>
      </w:pPr>
    </w:p>
    <w:p w:rsidR="00DA71D9" w:rsidRDefault="00DA71D9" w:rsidP="00DA71D9">
      <w:pPr>
        <w:suppressAutoHyphens/>
        <w:jc w:val="right"/>
        <w:rPr>
          <w:sz w:val="28"/>
          <w:szCs w:val="28"/>
          <w:lang w:val="uk-UA"/>
        </w:rPr>
      </w:pPr>
    </w:p>
    <w:p w:rsidR="00DA71D9" w:rsidRDefault="00DA71D9" w:rsidP="00DA71D9">
      <w:pPr>
        <w:suppressAutoHyphens/>
        <w:jc w:val="right"/>
        <w:rPr>
          <w:sz w:val="28"/>
          <w:szCs w:val="28"/>
          <w:lang w:val="uk-UA"/>
        </w:rPr>
      </w:pPr>
    </w:p>
    <w:p w:rsidR="00DA71D9" w:rsidRDefault="00DA71D9" w:rsidP="00DA71D9">
      <w:pPr>
        <w:pStyle w:val="a3"/>
        <w:jc w:val="center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object w:dxaOrig="983" w:dyaOrig="1160">
          <v:shape id="_x0000_i1028" type="#_x0000_t75" style="width:39.75pt;height:47.25pt" o:ole="" filled="t">
            <v:fill color2="black"/>
            <v:imagedata r:id="rId4" o:title=""/>
          </v:shape>
          <o:OLEObject Type="Embed" ProgID="Word.Document.8" ShapeID="_x0000_i1028" DrawAspect="Content" ObjectID="_1485768235" r:id="rId8"/>
        </w:object>
      </w:r>
    </w:p>
    <w:p w:rsidR="00DA71D9" w:rsidRDefault="00DA71D9" w:rsidP="00DA71D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80"/>
          <w:sz w:val="28"/>
          <w:lang w:val="uk-UA"/>
        </w:rPr>
        <w:t>УКРАЇНА</w:t>
      </w:r>
    </w:p>
    <w:p w:rsidR="00DA71D9" w:rsidRDefault="00DA71D9" w:rsidP="00DA71D9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ДОБРЯНСЬКА СІЛЬСЬКА РАДА</w:t>
      </w:r>
    </w:p>
    <w:p w:rsidR="00DA71D9" w:rsidRDefault="00DA71D9" w:rsidP="00DA71D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ТЯЧІВСЬКОГО  РАЙОНУ ЗАКАРПА</w:t>
      </w:r>
      <w:r>
        <w:rPr>
          <w:rFonts w:ascii="Times New Roman" w:hAnsi="Times New Roman" w:cs="Times New Roman"/>
          <w:sz w:val="28"/>
        </w:rPr>
        <w:t>ТСЬКОЇ  ОБЛАСТІ</w:t>
      </w:r>
    </w:p>
    <w:p w:rsidR="00DA71D9" w:rsidRDefault="00DA71D9" w:rsidP="00DA71D9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Двадцять восьма</w:t>
      </w:r>
      <w:r>
        <w:rPr>
          <w:rFonts w:ascii="Times New Roman" w:hAnsi="Times New Roman" w:cs="Times New Roman"/>
          <w:b/>
          <w:sz w:val="28"/>
        </w:rPr>
        <w:t xml:space="preserve"> сесія  шостого скликання</w:t>
      </w:r>
    </w:p>
    <w:p w:rsidR="00DA71D9" w:rsidRDefault="00DA71D9" w:rsidP="00DA71D9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Друге пленарне засідання</w:t>
      </w:r>
    </w:p>
    <w:p w:rsidR="00DA71D9" w:rsidRDefault="00DA71D9" w:rsidP="00DA71D9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</w:rPr>
        <w:t xml:space="preserve">Р  І  Ш  Е  Н  </w:t>
      </w:r>
      <w:proofErr w:type="gramStart"/>
      <w:r>
        <w:rPr>
          <w:rFonts w:ascii="Times New Roman" w:hAnsi="Times New Roman" w:cs="Times New Roman"/>
          <w:b/>
          <w:sz w:val="28"/>
        </w:rPr>
        <w:t>Н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Я</w:t>
      </w:r>
    </w:p>
    <w:p w:rsidR="00DA71D9" w:rsidRDefault="00DA71D9" w:rsidP="00DA71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30 січня  2015 року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254</w:t>
      </w:r>
    </w:p>
    <w:p w:rsidR="00DA71D9" w:rsidRDefault="00DA71D9" w:rsidP="00DA71D9">
      <w:pPr>
        <w:keepNext/>
        <w:outlineLvl w:val="3"/>
        <w:rPr>
          <w:rFonts w:eastAsia="Calibri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Добрянське</w:t>
      </w:r>
    </w:p>
    <w:p w:rsidR="00DA71D9" w:rsidRDefault="00DA71D9" w:rsidP="00DA71D9">
      <w:pPr>
        <w:suppressAutoHyphens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справляння акцизного податку та</w:t>
      </w:r>
    </w:p>
    <w:p w:rsidR="00DA71D9" w:rsidRDefault="00DA71D9" w:rsidP="00DA71D9">
      <w:pPr>
        <w:suppressAutoHyphens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встановлення   ставки   цього   податку</w:t>
      </w:r>
    </w:p>
    <w:p w:rsidR="00DA71D9" w:rsidRDefault="00DA71D9" w:rsidP="00DA71D9">
      <w:pPr>
        <w:suppressAutoHyphens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території Добрянської  сільської  ради  в</w:t>
      </w:r>
    </w:p>
    <w:p w:rsidR="00DA71D9" w:rsidRDefault="00DA71D9" w:rsidP="00DA71D9">
      <w:pPr>
        <w:suppressAutoHyphens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2015 році.</w:t>
      </w:r>
    </w:p>
    <w:p w:rsidR="00DA71D9" w:rsidRDefault="00DA71D9" w:rsidP="00DA71D9">
      <w:pPr>
        <w:keepNext/>
        <w:spacing w:before="240" w:after="60"/>
        <w:ind w:left="-180" w:right="355"/>
        <w:jc w:val="both"/>
        <w:outlineLvl w:val="2"/>
        <w:rPr>
          <w:rFonts w:eastAsia="Calibri"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Відповідно до ст. 12 та 215 Податкового Кодексу України (в редакції Закону  України від 28 грудня 2014 року №71-УІІІ «Про внесення змін  до Податкового Кодексу України та деяких законодавчих актів України щодо податкової реформи»), ст. ст. 26 та 69 Закону України «Про місцеве самоврядування в Україні» </w:t>
      </w:r>
      <w:r>
        <w:rPr>
          <w:rFonts w:eastAsia="Calibri"/>
          <w:bCs/>
          <w:sz w:val="28"/>
          <w:szCs w:val="28"/>
          <w:lang w:val="uk-UA"/>
        </w:rPr>
        <w:t>сесія Добрянської сільської ради</w:t>
      </w:r>
    </w:p>
    <w:p w:rsidR="00DA71D9" w:rsidRDefault="00DA71D9" w:rsidP="00DA71D9">
      <w:pPr>
        <w:suppressAutoHyphens/>
        <w:jc w:val="both"/>
        <w:rPr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ВИРІШИЛА :</w:t>
      </w:r>
      <w:r>
        <w:rPr>
          <w:rFonts w:eastAsia="Calibri"/>
          <w:b/>
          <w:bCs/>
          <w:sz w:val="28"/>
          <w:szCs w:val="28"/>
          <w:lang w:val="uk-UA"/>
        </w:rPr>
        <w:tab/>
      </w:r>
    </w:p>
    <w:p w:rsidR="00DA71D9" w:rsidRDefault="00DA71D9" w:rsidP="00DA71D9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Встановити, що на території Добрянської сільської ради з 01 січня 2015 року справляється акцизний податок відповідно до статті 215 пункту 215.3 підпункту 215.3.10 Податкового Кодексу України (в редакції Закону  України від 28 грудня 2014 року №71-УІІІ «Про внесення змін  до Податкового Кодексу України та деяких законодавчих актів України щодо податкової реформи») в розмірі 5 відсотків від вартості підакцизних товарів (з податком на додану вартість), реалізованих та визначених підпунктом 213.1.9 пункту 213.1 статті 213 Податкового Кодексу України.</w:t>
      </w:r>
    </w:p>
    <w:p w:rsidR="00DA71D9" w:rsidRDefault="00DA71D9" w:rsidP="00DA71D9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 Державній податковій інспекції у Тячівському районі вжити заходи щодо правильності нарахування та забезпечення повноти сплати платниками акцизного податку коштів в дохід міського бюджету згідно діючого законодавства та цього рішення.</w:t>
      </w:r>
    </w:p>
    <w:p w:rsidR="00DA71D9" w:rsidRDefault="00DA71D9" w:rsidP="00DA71D9">
      <w:pPr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 3. </w:t>
      </w:r>
      <w:r>
        <w:rPr>
          <w:sz w:val="28"/>
          <w:lang w:val="uk-UA"/>
        </w:rPr>
        <w:t>Контроль за виконанням цього рішення покласти на комісію з питань бюджету,управління майном та контролю за проведенням приватизації (голова комісії Дочинець О.А.).</w:t>
      </w:r>
    </w:p>
    <w:p w:rsidR="00DA71D9" w:rsidRDefault="00DA71D9" w:rsidP="00DA71D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A71D9" w:rsidRDefault="00DA71D9" w:rsidP="00DA71D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A71D9" w:rsidRDefault="00DA71D9" w:rsidP="00DA71D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 голова                                                     І.М.Токар</w:t>
      </w:r>
    </w:p>
    <w:p w:rsidR="00DA71D9" w:rsidRDefault="00DA71D9" w:rsidP="00DA71D9">
      <w:pPr>
        <w:tabs>
          <w:tab w:val="left" w:pos="540"/>
          <w:tab w:val="left" w:pos="720"/>
        </w:tabs>
        <w:suppressAutoHyphens/>
        <w:jc w:val="right"/>
        <w:rPr>
          <w:sz w:val="28"/>
          <w:szCs w:val="28"/>
          <w:lang w:val="uk-UA"/>
        </w:rPr>
      </w:pPr>
    </w:p>
    <w:p w:rsidR="00DA71D9" w:rsidRDefault="00DA71D9" w:rsidP="00DA71D9">
      <w:pPr>
        <w:tabs>
          <w:tab w:val="left" w:pos="540"/>
          <w:tab w:val="left" w:pos="720"/>
        </w:tabs>
        <w:suppressAutoHyphens/>
        <w:jc w:val="right"/>
        <w:rPr>
          <w:sz w:val="28"/>
          <w:szCs w:val="28"/>
          <w:lang w:val="uk-UA"/>
        </w:rPr>
      </w:pPr>
    </w:p>
    <w:p w:rsidR="00DA71D9" w:rsidRDefault="00DA71D9" w:rsidP="00DA71D9">
      <w:pPr>
        <w:tabs>
          <w:tab w:val="left" w:pos="540"/>
          <w:tab w:val="left" w:pos="720"/>
        </w:tabs>
        <w:suppressAutoHyphens/>
        <w:jc w:val="right"/>
        <w:rPr>
          <w:sz w:val="28"/>
          <w:szCs w:val="28"/>
          <w:lang w:val="uk-UA"/>
        </w:rPr>
      </w:pPr>
    </w:p>
    <w:p w:rsidR="00DA71D9" w:rsidRDefault="00DA71D9" w:rsidP="00DA71D9">
      <w:pPr>
        <w:tabs>
          <w:tab w:val="left" w:pos="540"/>
          <w:tab w:val="left" w:pos="720"/>
        </w:tabs>
        <w:suppressAutoHyphens/>
        <w:rPr>
          <w:sz w:val="28"/>
          <w:szCs w:val="28"/>
          <w:lang w:val="uk-UA"/>
        </w:rPr>
      </w:pPr>
    </w:p>
    <w:p w:rsidR="00DA71D9" w:rsidRDefault="00DA71D9" w:rsidP="00DA71D9">
      <w:pPr>
        <w:tabs>
          <w:tab w:val="left" w:pos="540"/>
          <w:tab w:val="left" w:pos="720"/>
        </w:tabs>
        <w:suppressAutoHyphens/>
        <w:rPr>
          <w:sz w:val="28"/>
          <w:szCs w:val="28"/>
          <w:lang w:val="uk-UA"/>
        </w:rPr>
      </w:pPr>
    </w:p>
    <w:p w:rsidR="00DA71D9" w:rsidRDefault="00DA71D9" w:rsidP="00DA71D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object w:dxaOrig="983" w:dyaOrig="1160">
          <v:shape id="_x0000_i1029" type="#_x0000_t75" style="width:39.75pt;height:47.25pt" o:ole="" filled="t">
            <v:fill color2="black"/>
            <v:imagedata r:id="rId4" o:title=""/>
          </v:shape>
          <o:OLEObject Type="Embed" ProgID="Word.Document.8" ShapeID="_x0000_i1029" DrawAspect="Content" ObjectID="_1485768236" r:id="rId9"/>
        </w:object>
      </w:r>
    </w:p>
    <w:p w:rsidR="00DA71D9" w:rsidRDefault="00DA71D9" w:rsidP="00DA71D9">
      <w:pPr>
        <w:pStyle w:val="a3"/>
        <w:jc w:val="center"/>
        <w:rPr>
          <w:rFonts w:ascii="Times New Roman" w:hAnsi="Times New Roman" w:cs="Times New Roman"/>
          <w:sz w:val="28"/>
          <w:lang w:val="uk-UA" w:eastAsia="ar-SA"/>
        </w:rPr>
      </w:pPr>
      <w:r>
        <w:rPr>
          <w:rFonts w:ascii="Times New Roman" w:hAnsi="Times New Roman" w:cs="Times New Roman"/>
          <w:b/>
          <w:spacing w:val="80"/>
          <w:sz w:val="28"/>
          <w:lang w:val="uk-UA"/>
        </w:rPr>
        <w:t>УКРАЇНА</w:t>
      </w:r>
    </w:p>
    <w:p w:rsidR="00DA71D9" w:rsidRDefault="00DA71D9" w:rsidP="00DA71D9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ДОБРЯНСЬКА СІЛЬСЬКА РАДА</w:t>
      </w:r>
    </w:p>
    <w:p w:rsidR="00DA71D9" w:rsidRDefault="00DA71D9" w:rsidP="00DA71D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ТЯЧІВСЬКОГО  РАЙОНУ ЗАКАРПА</w:t>
      </w:r>
      <w:r>
        <w:rPr>
          <w:rFonts w:ascii="Times New Roman" w:hAnsi="Times New Roman" w:cs="Times New Roman"/>
          <w:sz w:val="28"/>
        </w:rPr>
        <w:t>ТСЬКОЇ  ОБЛАСТІ</w:t>
      </w:r>
    </w:p>
    <w:p w:rsidR="00DA71D9" w:rsidRDefault="00DA71D9" w:rsidP="00DA71D9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Двадцять восьма</w:t>
      </w:r>
      <w:r>
        <w:rPr>
          <w:rFonts w:ascii="Times New Roman" w:hAnsi="Times New Roman" w:cs="Times New Roman"/>
          <w:b/>
          <w:sz w:val="28"/>
        </w:rPr>
        <w:t xml:space="preserve"> сесія  шостого скликання</w:t>
      </w:r>
    </w:p>
    <w:p w:rsidR="00DA71D9" w:rsidRDefault="00DA71D9" w:rsidP="00DA71D9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Друге пленарне засідання</w:t>
      </w:r>
    </w:p>
    <w:p w:rsidR="00DA71D9" w:rsidRDefault="00DA71D9" w:rsidP="00DA71D9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</w:rPr>
        <w:t xml:space="preserve">Р  І  Ш  Е  Н  </w:t>
      </w:r>
      <w:proofErr w:type="gramStart"/>
      <w:r>
        <w:rPr>
          <w:rFonts w:ascii="Times New Roman" w:hAnsi="Times New Roman" w:cs="Times New Roman"/>
          <w:b/>
          <w:sz w:val="28"/>
        </w:rPr>
        <w:t>Н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Я</w:t>
      </w:r>
    </w:p>
    <w:p w:rsidR="00DA71D9" w:rsidRDefault="00DA71D9" w:rsidP="00DA71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30 січня  2015 року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255</w:t>
      </w:r>
    </w:p>
    <w:p w:rsidR="00DA71D9" w:rsidRDefault="00DA71D9" w:rsidP="00DA71D9">
      <w:pPr>
        <w:keepNext/>
        <w:outlineLvl w:val="3"/>
        <w:rPr>
          <w:rFonts w:eastAsia="Calibri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Добрянське</w:t>
      </w:r>
    </w:p>
    <w:p w:rsidR="00DA71D9" w:rsidRDefault="00DA71D9" w:rsidP="00DA71D9">
      <w:pPr>
        <w:tabs>
          <w:tab w:val="left" w:pos="540"/>
          <w:tab w:val="left" w:pos="720"/>
        </w:tabs>
        <w:suppressAutoHyphens/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в новій редакції</w:t>
      </w:r>
    </w:p>
    <w:p w:rsidR="00DA71D9" w:rsidRDefault="00DA71D9" w:rsidP="00DA71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Положення про п</w:t>
      </w:r>
      <w:r>
        <w:rPr>
          <w:sz w:val="28"/>
          <w:szCs w:val="28"/>
        </w:rPr>
        <w:t>одаток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 нерухом</w:t>
      </w:r>
      <w:r>
        <w:rPr>
          <w:sz w:val="28"/>
          <w:szCs w:val="28"/>
          <w:lang w:val="uk-UA"/>
        </w:rPr>
        <w:t>е</w:t>
      </w:r>
    </w:p>
    <w:p w:rsidR="00DA71D9" w:rsidRDefault="00DA71D9" w:rsidP="00DA71D9">
      <w:pPr>
        <w:rPr>
          <w:sz w:val="28"/>
          <w:szCs w:val="28"/>
          <w:lang w:val="uk-UA"/>
        </w:rPr>
      </w:pPr>
      <w:r>
        <w:rPr>
          <w:sz w:val="28"/>
          <w:szCs w:val="28"/>
        </w:rPr>
        <w:t>майно, відмінне</w:t>
      </w:r>
      <w:r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</w:rPr>
        <w:t>земельної ділянки</w:t>
      </w:r>
      <w:r>
        <w:rPr>
          <w:sz w:val="28"/>
          <w:szCs w:val="28"/>
          <w:lang w:val="uk-UA"/>
        </w:rPr>
        <w:t>.</w:t>
      </w: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keepNext/>
        <w:spacing w:before="240" w:after="60"/>
        <w:ind w:left="-180" w:right="355"/>
        <w:jc w:val="both"/>
        <w:outlineLvl w:val="2"/>
        <w:rPr>
          <w:rFonts w:eastAsia="Calibri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В</w:t>
      </w:r>
      <w:r>
        <w:rPr>
          <w:sz w:val="28"/>
          <w:szCs w:val="28"/>
          <w:lang w:val="uk-UA"/>
        </w:rPr>
        <w:t xml:space="preserve">ідповідно до ст.10 та ст.ст.265 та 266 </w:t>
      </w:r>
      <w:r>
        <w:rPr>
          <w:bCs/>
          <w:sz w:val="28"/>
          <w:szCs w:val="28"/>
          <w:lang w:val="uk-UA"/>
        </w:rPr>
        <w:t>Податкового кодексу України від</w:t>
      </w:r>
      <w:r>
        <w:rPr>
          <w:sz w:val="28"/>
          <w:szCs w:val="28"/>
          <w:lang w:val="uk-UA"/>
        </w:rPr>
        <w:t xml:space="preserve"> 02 грудня 2010 року № 2755</w:t>
      </w:r>
      <w:r>
        <w:rPr>
          <w:sz w:val="28"/>
          <w:szCs w:val="28"/>
        </w:rPr>
        <w:sym w:font="Symbol" w:char="002D"/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uk-UA"/>
        </w:rPr>
        <w:t>(в редакції Закону України №71-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від 28.12.2014 «Про внесення змін до Податкового кодексу України та деяких законодавчих актів України щодо податкової реформи»), пунктом 24 статті 26, статтею 59 Закону України «Про місцеве самоврядування в Україні», </w:t>
      </w:r>
      <w:r>
        <w:rPr>
          <w:rFonts w:eastAsia="Calibri"/>
          <w:bCs/>
          <w:sz w:val="28"/>
          <w:szCs w:val="28"/>
          <w:lang w:val="uk-UA"/>
        </w:rPr>
        <w:t>сесія Добрянської сільської ради</w:t>
      </w:r>
    </w:p>
    <w:p w:rsidR="00DA71D9" w:rsidRDefault="00DA71D9" w:rsidP="00DA71D9">
      <w:pPr>
        <w:suppressAutoHyphens/>
        <w:jc w:val="both"/>
        <w:rPr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ВИРІШИЛА :</w:t>
      </w:r>
      <w:r>
        <w:rPr>
          <w:rFonts w:eastAsia="Calibri"/>
          <w:b/>
          <w:bCs/>
          <w:sz w:val="28"/>
          <w:szCs w:val="28"/>
          <w:lang w:val="uk-UA"/>
        </w:rPr>
        <w:tab/>
      </w: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Затвердити в новій редакції Положення про п</w:t>
      </w:r>
      <w:r>
        <w:rPr>
          <w:sz w:val="28"/>
          <w:szCs w:val="28"/>
        </w:rPr>
        <w:t>одаток на нерухоме майно, відмінне від земельної ділянки</w:t>
      </w:r>
      <w:r>
        <w:rPr>
          <w:sz w:val="28"/>
          <w:szCs w:val="28"/>
          <w:lang w:val="uk-UA"/>
        </w:rPr>
        <w:t xml:space="preserve">  (додається).</w:t>
      </w: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ind w:firstLine="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2.Оприлюднити дане рішення на дошці оголошень та надіслати Державній податковій інспекції ГУ ДФС в Закарпатській області для контролю за справлянням оплати.</w:t>
      </w:r>
    </w:p>
    <w:p w:rsidR="00DA71D9" w:rsidRDefault="00DA71D9" w:rsidP="00DA71D9">
      <w:pPr>
        <w:ind w:firstLine="284"/>
        <w:jc w:val="both"/>
        <w:rPr>
          <w:b/>
          <w:bCs/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ab/>
        <w:t>3.</w:t>
      </w:r>
      <w:r>
        <w:rPr>
          <w:sz w:val="28"/>
          <w:lang w:val="uk-UA"/>
        </w:rPr>
        <w:t xml:space="preserve"> Контроль за виконанням цього рішення покласти на комісію з питань бюджету,управління майном та контролю за проведенням приватизації (голова комісії Дочинець О.А.).</w:t>
      </w:r>
    </w:p>
    <w:p w:rsidR="00DA71D9" w:rsidRDefault="00DA71D9" w:rsidP="00DA71D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A71D9" w:rsidRDefault="00DA71D9" w:rsidP="00DA71D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A71D9" w:rsidRDefault="00DA71D9" w:rsidP="00DA71D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 голова                                                     І.М.Токар</w:t>
      </w: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Затверджено</w:t>
      </w:r>
    </w:p>
    <w:p w:rsidR="00DA71D9" w:rsidRDefault="00DA71D9" w:rsidP="00DA71D9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рішенням двадцять восьмої сесії  УІ-го  скликання Добрянської сільської ради  від   30 січня 2015 року  №255</w:t>
      </w:r>
    </w:p>
    <w:p w:rsidR="00DA71D9" w:rsidRDefault="00DA71D9" w:rsidP="00DA71D9">
      <w:pPr>
        <w:jc w:val="right"/>
        <w:rPr>
          <w:sz w:val="28"/>
          <w:szCs w:val="28"/>
          <w:lang w:val="uk-UA"/>
        </w:rPr>
      </w:pPr>
    </w:p>
    <w:p w:rsidR="00DA71D9" w:rsidRDefault="00DA71D9" w:rsidP="00DA71D9">
      <w:pPr>
        <w:rPr>
          <w:sz w:val="28"/>
          <w:szCs w:val="28"/>
          <w:lang w:val="uk-UA"/>
        </w:rPr>
      </w:pPr>
    </w:p>
    <w:p w:rsidR="00DA71D9" w:rsidRDefault="00DA71D9" w:rsidP="00DA71D9">
      <w:pPr>
        <w:jc w:val="center"/>
        <w:rPr>
          <w:b/>
          <w:sz w:val="28"/>
          <w:szCs w:val="28"/>
          <w:lang w:val="uk-UA"/>
        </w:rPr>
      </w:pPr>
    </w:p>
    <w:p w:rsidR="00DA71D9" w:rsidRDefault="00DA71D9" w:rsidP="00DA71D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 О Л О  Ж Е Н Н Я</w:t>
      </w:r>
    </w:p>
    <w:p w:rsidR="00DA71D9" w:rsidRDefault="00DA71D9" w:rsidP="00DA71D9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про п</w:t>
      </w:r>
      <w:r>
        <w:rPr>
          <w:sz w:val="28"/>
          <w:szCs w:val="28"/>
        </w:rPr>
        <w:t>одаток на нерухоме майно, відмінне від земельної ділянки</w:t>
      </w:r>
    </w:p>
    <w:p w:rsidR="00DA71D9" w:rsidRDefault="00DA71D9" w:rsidP="00DA71D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(нова редакція)</w:t>
      </w:r>
    </w:p>
    <w:p w:rsidR="00DA71D9" w:rsidRDefault="00DA71D9" w:rsidP="00DA71D9">
      <w:pPr>
        <w:jc w:val="center"/>
        <w:rPr>
          <w:sz w:val="28"/>
          <w:szCs w:val="28"/>
          <w:lang w:val="uk-UA"/>
        </w:rPr>
      </w:pPr>
    </w:p>
    <w:p w:rsidR="00DA71D9" w:rsidRDefault="00DA71D9" w:rsidP="00DA71D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1.Загальні положення</w:t>
      </w:r>
    </w:p>
    <w:p w:rsidR="00DA71D9" w:rsidRDefault="00DA71D9" w:rsidP="00DA71D9">
      <w:pPr>
        <w:jc w:val="center"/>
        <w:rPr>
          <w:b/>
          <w:sz w:val="28"/>
          <w:szCs w:val="28"/>
          <w:lang w:val="uk-UA"/>
        </w:rPr>
      </w:pP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1.Податок на нерухоме майно, відмінне від земельної ділянки, встановлюється відповідно до статей 10, 265 та 266 </w:t>
      </w:r>
      <w:r>
        <w:rPr>
          <w:bCs/>
          <w:sz w:val="28"/>
          <w:szCs w:val="28"/>
          <w:lang w:val="uk-UA"/>
        </w:rPr>
        <w:t>Податкового кодексу України від</w:t>
      </w:r>
      <w:r>
        <w:rPr>
          <w:sz w:val="28"/>
          <w:szCs w:val="28"/>
          <w:lang w:val="uk-UA"/>
        </w:rPr>
        <w:t xml:space="preserve"> 02 грудня 2010 року № 2755</w:t>
      </w:r>
      <w:r>
        <w:rPr>
          <w:sz w:val="28"/>
          <w:szCs w:val="28"/>
        </w:rPr>
        <w:sym w:font="Symbol" w:char="002D"/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uk-UA"/>
        </w:rPr>
        <w:t>(в редакції Закону України №71-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від 28.12.2014 «Про внесення змін до Податкового кодексу України та деяких законодавчих актів України щодо податкової реформи»).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1.1.Визначення понять: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Об’єкти житлової нерухомості - будівлі, віднесені відповідно до законодавства до житлового фонду, дачні та садові будинки;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1.1.1. </w:t>
      </w:r>
      <w:r>
        <w:rPr>
          <w:b/>
          <w:sz w:val="28"/>
          <w:szCs w:val="28"/>
          <w:u w:val="single"/>
          <w:lang w:val="uk-UA"/>
        </w:rPr>
        <w:t>Будівлі, віднесені до житлового фонду</w:t>
      </w:r>
      <w:r>
        <w:rPr>
          <w:sz w:val="28"/>
          <w:szCs w:val="28"/>
          <w:lang w:val="uk-UA"/>
        </w:rPr>
        <w:t>, поділяються на такі типи: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а) </w:t>
      </w:r>
      <w:r>
        <w:rPr>
          <w:b/>
          <w:i/>
          <w:sz w:val="28"/>
          <w:szCs w:val="28"/>
          <w:lang w:val="uk-UA"/>
        </w:rPr>
        <w:t>житловий будинок</w:t>
      </w:r>
      <w:r>
        <w:rPr>
          <w:sz w:val="28"/>
          <w:szCs w:val="28"/>
          <w:lang w:val="uk-UA"/>
        </w:rPr>
        <w:t xml:space="preserve"> - будівля капітального типу, споруджена з дотриманням вимог, встановлених законом, іншими нормативно-правовими актами, і призначена для постійного у ній проживання. Житлові будинки поділяються на житлові будинки садибного типу та житлові будинки квартирного типу різної поверховості. Житловий будинок садибного типу - житловий будинок, розташований на окремій земельній ділянці, який складається із житлових та допоміжних (нежитлових) приміщень;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б) </w:t>
      </w:r>
      <w:r>
        <w:rPr>
          <w:b/>
          <w:i/>
          <w:sz w:val="28"/>
          <w:szCs w:val="28"/>
          <w:lang w:val="uk-UA"/>
        </w:rPr>
        <w:t>прибудова до житлового будинку</w:t>
      </w:r>
      <w:r>
        <w:rPr>
          <w:sz w:val="28"/>
          <w:szCs w:val="28"/>
          <w:lang w:val="uk-UA"/>
        </w:rPr>
        <w:t xml:space="preserve"> - частина будинку, розташована поза контуром його капітальних зовнішніх стін, і яка має з основною частиною будинку одну (або більше) спільну капітальну стіну;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в) </w:t>
      </w:r>
      <w:r>
        <w:rPr>
          <w:b/>
          <w:i/>
          <w:sz w:val="28"/>
          <w:szCs w:val="28"/>
          <w:lang w:val="uk-UA"/>
        </w:rPr>
        <w:t>квартира</w:t>
      </w:r>
      <w:r>
        <w:rPr>
          <w:sz w:val="28"/>
          <w:szCs w:val="28"/>
          <w:lang w:val="uk-UA"/>
        </w:rPr>
        <w:t xml:space="preserve"> - ізольоване помешкання в житловому будинку, призначене та придатне для постійного у ньому проживання;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г) </w:t>
      </w:r>
      <w:r>
        <w:rPr>
          <w:b/>
          <w:i/>
          <w:sz w:val="28"/>
          <w:szCs w:val="28"/>
          <w:lang w:val="uk-UA"/>
        </w:rPr>
        <w:t>котедж</w:t>
      </w:r>
      <w:r>
        <w:rPr>
          <w:sz w:val="28"/>
          <w:szCs w:val="28"/>
          <w:lang w:val="uk-UA"/>
        </w:rPr>
        <w:t xml:space="preserve"> - одно-, півтораповерховий будинок невеликої житлової площі для постійного чи тимчасового проживання з присадибною ділянкою;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ґ) </w:t>
      </w:r>
      <w:r>
        <w:rPr>
          <w:b/>
          <w:i/>
          <w:sz w:val="28"/>
          <w:szCs w:val="28"/>
          <w:lang w:val="uk-UA"/>
        </w:rPr>
        <w:t>кімнати у багатосімейних (комунальних) квартирах</w:t>
      </w:r>
      <w:r>
        <w:rPr>
          <w:sz w:val="28"/>
          <w:szCs w:val="28"/>
          <w:lang w:val="uk-UA"/>
        </w:rPr>
        <w:t xml:space="preserve"> - ізольовані помешкання в квартирі, в якій мешкають двоє чи більше квартиронаймачів;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1.1.2. </w:t>
      </w:r>
      <w:r>
        <w:rPr>
          <w:b/>
          <w:sz w:val="28"/>
          <w:szCs w:val="28"/>
          <w:u w:val="single"/>
          <w:lang w:val="uk-UA"/>
        </w:rPr>
        <w:t>садовий будинок</w:t>
      </w:r>
      <w:r>
        <w:rPr>
          <w:sz w:val="28"/>
          <w:szCs w:val="28"/>
          <w:lang w:val="uk-UA"/>
        </w:rPr>
        <w:t xml:space="preserve"> - будинок для літнього (сезонного) використання, який в питаннях нормування площі забудови, зовнішніх конструкцій та інженерного обладнання не відповідає нормативам, установленим для житлових будинків;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1.1.3 </w:t>
      </w:r>
      <w:r>
        <w:rPr>
          <w:b/>
          <w:sz w:val="28"/>
          <w:szCs w:val="28"/>
          <w:u w:val="single"/>
          <w:lang w:val="uk-UA"/>
        </w:rPr>
        <w:t>дачний будинок</w:t>
      </w:r>
      <w:r>
        <w:rPr>
          <w:sz w:val="28"/>
          <w:szCs w:val="28"/>
          <w:lang w:val="uk-UA"/>
        </w:rPr>
        <w:t xml:space="preserve"> - житловий будинок для використання протягом року з метою позаміського відпочинку;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1.2.</w:t>
      </w:r>
      <w:r>
        <w:rPr>
          <w:b/>
          <w:sz w:val="28"/>
          <w:szCs w:val="28"/>
          <w:lang w:val="uk-UA"/>
        </w:rPr>
        <w:t>Об’єкти нежитлової нерухомості</w:t>
      </w:r>
      <w:r>
        <w:rPr>
          <w:sz w:val="28"/>
          <w:szCs w:val="28"/>
          <w:lang w:val="uk-UA"/>
        </w:rPr>
        <w:t xml:space="preserve"> - будівлі, приміщення, що не віднесені відповідно до законодавства до житлового фонду. У нежитловій нерухомості виділяють: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а) </w:t>
      </w:r>
      <w:r>
        <w:rPr>
          <w:b/>
          <w:i/>
          <w:sz w:val="28"/>
          <w:szCs w:val="28"/>
          <w:lang w:val="uk-UA"/>
        </w:rPr>
        <w:t>будівлі готельні</w:t>
      </w:r>
      <w:r>
        <w:rPr>
          <w:sz w:val="28"/>
          <w:szCs w:val="28"/>
          <w:lang w:val="uk-UA"/>
        </w:rPr>
        <w:t xml:space="preserve"> - готелі, мотелі, кемпінги, пансіонати, ресторани та бари, туристичні бази, гірські притулки, табори для відпочинку, будинки відпочинку;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б) </w:t>
      </w:r>
      <w:r>
        <w:rPr>
          <w:b/>
          <w:i/>
          <w:sz w:val="28"/>
          <w:szCs w:val="28"/>
          <w:lang w:val="uk-UA"/>
        </w:rPr>
        <w:t>будівлі офісні</w:t>
      </w:r>
      <w:r>
        <w:rPr>
          <w:sz w:val="28"/>
          <w:szCs w:val="28"/>
          <w:lang w:val="uk-UA"/>
        </w:rPr>
        <w:t xml:space="preserve"> - будівлі фінансового обслуговування, адміністративно-побутові будівлі, будівлі для конторських та адміністративних цілей;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в) </w:t>
      </w:r>
      <w:r>
        <w:rPr>
          <w:b/>
          <w:i/>
          <w:sz w:val="28"/>
          <w:szCs w:val="28"/>
          <w:lang w:val="uk-UA"/>
        </w:rPr>
        <w:t xml:space="preserve">будівлі торговельні </w:t>
      </w:r>
      <w:r>
        <w:rPr>
          <w:sz w:val="28"/>
          <w:szCs w:val="28"/>
          <w:lang w:val="uk-UA"/>
        </w:rPr>
        <w:t>- торгові центри, універмаги, магазини, криті ринки, павільйони та зали для ярмарків, станції технічного обслуговування автомобілів, їдальні, кафе, закусочні, бази та склади підприємств торгівлі й громадського харчування, будівлі підприємств побутового обслуговування;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г) </w:t>
      </w:r>
      <w:r>
        <w:rPr>
          <w:b/>
          <w:i/>
          <w:sz w:val="28"/>
          <w:szCs w:val="28"/>
          <w:lang w:val="uk-UA"/>
        </w:rPr>
        <w:t xml:space="preserve">гаражі </w:t>
      </w:r>
      <w:r>
        <w:rPr>
          <w:sz w:val="28"/>
          <w:szCs w:val="28"/>
          <w:lang w:val="uk-UA"/>
        </w:rPr>
        <w:t>- гаражі (наземні й підземні) та криті автомобільні стоянки;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д) </w:t>
      </w:r>
      <w:r>
        <w:rPr>
          <w:b/>
          <w:i/>
          <w:sz w:val="28"/>
          <w:szCs w:val="28"/>
          <w:lang w:val="uk-UA"/>
        </w:rPr>
        <w:t>будівлі для публічних виступів (казино, ігорні будинки)</w:t>
      </w:r>
      <w:r>
        <w:rPr>
          <w:sz w:val="28"/>
          <w:szCs w:val="28"/>
          <w:lang w:val="uk-UA"/>
        </w:rPr>
        <w:t>;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е) </w:t>
      </w:r>
      <w:r>
        <w:rPr>
          <w:b/>
          <w:i/>
          <w:sz w:val="28"/>
          <w:szCs w:val="28"/>
          <w:lang w:val="uk-UA"/>
        </w:rPr>
        <w:t>господарські (присадибні) будівлі</w:t>
      </w:r>
      <w:r>
        <w:rPr>
          <w:sz w:val="28"/>
          <w:szCs w:val="28"/>
          <w:lang w:val="uk-UA"/>
        </w:rPr>
        <w:t xml:space="preserve"> - допоміжні (нежитлові) приміщення, до яких належать сараї, хліви, гаражі, літні кухні, майстерні, вбиральні, погреби, навіси, котельні, бойлерні, трансформаторні підстанції тощо;</w:t>
      </w:r>
    </w:p>
    <w:p w:rsidR="00DA71D9" w:rsidRDefault="00DA71D9" w:rsidP="00DA71D9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є) </w:t>
      </w:r>
      <w:r>
        <w:rPr>
          <w:b/>
          <w:i/>
          <w:sz w:val="28"/>
          <w:szCs w:val="28"/>
          <w:lang w:val="uk-UA"/>
        </w:rPr>
        <w:t>інші будівлі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(автозаправочні станції, аптеки та інші.</w:t>
      </w:r>
    </w:p>
    <w:p w:rsidR="00DA71D9" w:rsidRDefault="00DA71D9" w:rsidP="00DA71D9">
      <w:pPr>
        <w:jc w:val="both"/>
        <w:rPr>
          <w:color w:val="FF0000"/>
          <w:sz w:val="28"/>
          <w:szCs w:val="28"/>
          <w:lang w:val="uk-UA"/>
        </w:rPr>
      </w:pPr>
    </w:p>
    <w:p w:rsidR="00DA71D9" w:rsidRDefault="00DA71D9" w:rsidP="00DA71D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</w:rPr>
        <w:t>Платники податку</w:t>
      </w:r>
    </w:p>
    <w:p w:rsidR="00DA71D9" w:rsidRDefault="00DA71D9" w:rsidP="00DA71D9">
      <w:pPr>
        <w:jc w:val="center"/>
        <w:rPr>
          <w:b/>
          <w:sz w:val="28"/>
          <w:szCs w:val="28"/>
          <w:lang w:val="uk-UA"/>
        </w:rPr>
      </w:pPr>
    </w:p>
    <w:p w:rsidR="00DA71D9" w:rsidRDefault="00DA71D9" w:rsidP="00DA71D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2.1</w:t>
      </w:r>
      <w:r>
        <w:rPr>
          <w:sz w:val="28"/>
          <w:szCs w:val="28"/>
        </w:rPr>
        <w:t xml:space="preserve">.Платниками податку є фізичні та юридичні особи, в тому числі нерезиденти, які є власниками об’єктів житлової та/або нежитлової нерухомості. 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2.2. Визначення платників податку в разі перебування об’єктів житлової та/або нежитлової нерухомості у спільній частковій або спільній сумісній власності кількох осіб: </w:t>
      </w:r>
    </w:p>
    <w:p w:rsidR="00DA71D9" w:rsidRDefault="00DA71D9" w:rsidP="00DA71D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якщо об’єкт житлової та/або нежитлової нерухомості перебуває у спільній частковій власності кількох осіб, платником податку є кожна з цих осіб за належну їй частку; </w:t>
      </w:r>
    </w:p>
    <w:p w:rsidR="00DA71D9" w:rsidRDefault="00DA71D9" w:rsidP="00DA71D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якщо об’єкт житлової та/або нежитлової нерухомості перебуває у спільній сумісній власності кількох осіб, але не поділений в натурі, платником податку є одна з таких осіб-власників, визначена за їх згодою, якщо інше не встановлено судом; </w:t>
      </w:r>
    </w:p>
    <w:p w:rsidR="00DA71D9" w:rsidRDefault="00DA71D9" w:rsidP="00DA71D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якщо об’єкт житлової та/або нежитлової нерухомості перебуває у спільній сумісній власності кількох осіб і поділений між ними в натурі, платником податку є кожна з цих осіб за належну їй частку. </w:t>
      </w:r>
    </w:p>
    <w:p w:rsidR="00DA71D9" w:rsidRDefault="00DA71D9" w:rsidP="00DA71D9">
      <w:pPr>
        <w:ind w:firstLine="708"/>
        <w:jc w:val="both"/>
        <w:rPr>
          <w:sz w:val="28"/>
          <w:szCs w:val="28"/>
          <w:lang w:val="uk-UA"/>
        </w:rPr>
      </w:pPr>
    </w:p>
    <w:p w:rsidR="00DA71D9" w:rsidRDefault="00DA71D9" w:rsidP="00DA71D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Об’єкт оподаткування</w:t>
      </w:r>
    </w:p>
    <w:p w:rsidR="00DA71D9" w:rsidRDefault="00DA71D9" w:rsidP="00DA71D9">
      <w:pPr>
        <w:jc w:val="center"/>
        <w:rPr>
          <w:b/>
          <w:sz w:val="28"/>
          <w:szCs w:val="28"/>
          <w:lang w:val="uk-UA"/>
        </w:rPr>
      </w:pPr>
    </w:p>
    <w:p w:rsidR="00DA71D9" w:rsidRDefault="00DA71D9" w:rsidP="00DA71D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3.1. Об’єктом оподаткування є об’єкт житлової та нежитлової нерухомості, в тому числі його частка. 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3.2. Не є об’єктом оподаткування: 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а) об’єкти житлової та нежитлової нерухомості, які перебувають у власності органів державної влади, органів місцевого самоврядування, а також організацій, створених ними в установленому порядку, що повністю утримуються за рахунок відповідного державного бюджету чи місцевого бюджету і є неприбутковими (їх спільній власності); 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б) об’єкти житлової та нежитлової нерухомості, які розташовані в зонах відчуження та безумовного (обов’язкового) відселення, визначені законом, в тому числі їх частки;</w:t>
      </w:r>
    </w:p>
    <w:p w:rsidR="00DA71D9" w:rsidRDefault="00DA71D9" w:rsidP="00DA71D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>в) буді</w:t>
      </w:r>
      <w:proofErr w:type="gramStart"/>
      <w:r>
        <w:rPr>
          <w:sz w:val="28"/>
          <w:szCs w:val="28"/>
        </w:rPr>
        <w:t>вл</w:t>
      </w:r>
      <w:proofErr w:type="gramEnd"/>
      <w:r>
        <w:rPr>
          <w:sz w:val="28"/>
          <w:szCs w:val="28"/>
        </w:rPr>
        <w:t>і дитячих будинків сімейного типу;</w:t>
      </w:r>
    </w:p>
    <w:p w:rsidR="00DA71D9" w:rsidRDefault="00DA71D9" w:rsidP="00DA71D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 xml:space="preserve"> г) гуртожитки;</w:t>
      </w:r>
    </w:p>
    <w:p w:rsidR="00DA71D9" w:rsidRDefault="00DA71D9" w:rsidP="00DA71D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 xml:space="preserve"> ґ) житлова нерухомість непридатна для проживання, в тому числі у зв’язку з аварійним станом, визнана такою згідно з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ішенням сільської, селищної, міської ради;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д) об’єкти житлової нерухомості, в тому числі їх частки, що належать дітям-сиротам, дітям, позбавленим батьківського піклування, та особам з їх числа, визнаним такими відповідно до закону, дітям-інвалідам, які виховуються одинокими матерями (батьками), але не більше одного такого об’єкта на дитину; </w:t>
      </w:r>
    </w:p>
    <w:p w:rsidR="00DA71D9" w:rsidRDefault="00DA71D9" w:rsidP="00DA71D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>е)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об’єкти нежитлової нерухомості, які використовуються суб’єктами господарювання малого та середнього бізнесу, що провадять свою діяльність в малих </w:t>
      </w:r>
      <w:proofErr w:type="gramStart"/>
      <w:r>
        <w:rPr>
          <w:sz w:val="28"/>
          <w:szCs w:val="28"/>
        </w:rPr>
        <w:t>арх</w:t>
      </w:r>
      <w:proofErr w:type="gramEnd"/>
      <w:r>
        <w:rPr>
          <w:sz w:val="28"/>
          <w:szCs w:val="28"/>
        </w:rPr>
        <w:t xml:space="preserve">ітектурних формах та на ринках; 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 xml:space="preserve"> є) буді</w:t>
      </w:r>
      <w:proofErr w:type="gramStart"/>
      <w:r>
        <w:rPr>
          <w:sz w:val="28"/>
          <w:szCs w:val="28"/>
        </w:rPr>
        <w:t>вл</w:t>
      </w:r>
      <w:proofErr w:type="gramEnd"/>
      <w:r>
        <w:rPr>
          <w:sz w:val="28"/>
          <w:szCs w:val="28"/>
        </w:rPr>
        <w:t>і промисловості, зокрема виробничі корпуси, цехи, складські приміщення промислових підприємств;</w:t>
      </w:r>
    </w:p>
    <w:p w:rsidR="00DA71D9" w:rsidRDefault="00DA71D9" w:rsidP="00DA71D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 xml:space="preserve"> ж) буді</w:t>
      </w:r>
      <w:proofErr w:type="gramStart"/>
      <w:r>
        <w:rPr>
          <w:sz w:val="28"/>
          <w:szCs w:val="28"/>
        </w:rPr>
        <w:t>вл</w:t>
      </w:r>
      <w:proofErr w:type="gramEnd"/>
      <w:r>
        <w:rPr>
          <w:sz w:val="28"/>
          <w:szCs w:val="28"/>
        </w:rPr>
        <w:t>і, споруди сільськогосподарських товаровиробників, призначені для використання безпосередньо у сільськогосподарській діяльності;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з) об’єкти житлової та нежитлової нерухомості, які перебувають у власності громадських організацій інвалідів та їх підприємств.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</w:p>
    <w:p w:rsidR="00DA71D9" w:rsidRDefault="00DA71D9" w:rsidP="00DA71D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База оподаткування</w:t>
      </w:r>
    </w:p>
    <w:p w:rsidR="00DA71D9" w:rsidRDefault="00DA71D9" w:rsidP="00DA71D9">
      <w:pPr>
        <w:jc w:val="center"/>
        <w:rPr>
          <w:b/>
          <w:sz w:val="28"/>
          <w:szCs w:val="28"/>
          <w:lang w:val="uk-UA"/>
        </w:rPr>
      </w:pP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4.1. Базою оподаткування є </w:t>
      </w:r>
      <w:r>
        <w:rPr>
          <w:b/>
          <w:sz w:val="28"/>
          <w:szCs w:val="28"/>
          <w:lang w:val="uk-UA"/>
        </w:rPr>
        <w:t>загальна площа об’єкта житлової та нежитлової нерухомості</w:t>
      </w:r>
      <w:r>
        <w:rPr>
          <w:sz w:val="28"/>
          <w:szCs w:val="28"/>
          <w:lang w:val="uk-UA"/>
        </w:rPr>
        <w:t xml:space="preserve">, в тому числі його часток. </w:t>
      </w:r>
    </w:p>
    <w:p w:rsidR="00DA71D9" w:rsidRDefault="00DA71D9" w:rsidP="00DA71D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4.</w:t>
      </w:r>
      <w:r>
        <w:rPr>
          <w:sz w:val="28"/>
          <w:szCs w:val="28"/>
        </w:rPr>
        <w:t xml:space="preserve">2. База оподаткування об’єктів житлової та нежитлової нерухомості, в тому числі їх часток, які перебувають у власності фізичних осіб, обчислюється контролюючим органом на підставі даних Державного реєстру речових прав на нерухоме майно, що безоплатно надаються органами державної реєстрації прав на нерухоме майно та/або на підставі оригіналів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ідповідних документів платника податків, зокрема документі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на право власності.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4.3. База оподаткування об’єктів житлової та нежитлової нерухомості, в тому числі їх часток, що перебувають у власності юридичних осіб, </w:t>
      </w:r>
      <w:r>
        <w:rPr>
          <w:sz w:val="28"/>
          <w:szCs w:val="28"/>
          <w:lang w:val="uk-UA"/>
        </w:rPr>
        <w:lastRenderedPageBreak/>
        <w:t xml:space="preserve">обчислюється такими особами самостійно виходячи із загальної площі кожного окремого об’єкта оподаткування на підставі документів, що підтверджують право власності на такий об’єкт. 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</w:p>
    <w:p w:rsidR="00DA71D9" w:rsidRDefault="00DA71D9" w:rsidP="00DA71D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5.Пільги із сплати податку</w:t>
      </w:r>
    </w:p>
    <w:p w:rsidR="00DA71D9" w:rsidRDefault="00DA71D9" w:rsidP="00DA71D9">
      <w:pPr>
        <w:jc w:val="center"/>
        <w:rPr>
          <w:b/>
          <w:sz w:val="28"/>
          <w:szCs w:val="28"/>
          <w:lang w:val="uk-UA"/>
        </w:rPr>
      </w:pPr>
    </w:p>
    <w:p w:rsidR="00DA71D9" w:rsidRDefault="00DA71D9" w:rsidP="00DA71D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 База оподаткування об’єкта/об’єктів житлової нерухомості, в тому числі їх часток, що перебувають у власності фізичної особи - платника податку, зменшується:</w:t>
      </w:r>
    </w:p>
    <w:p w:rsidR="00DA71D9" w:rsidRDefault="00DA71D9" w:rsidP="00DA71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а) </w:t>
      </w:r>
      <w:r>
        <w:rPr>
          <w:b/>
          <w:sz w:val="28"/>
          <w:szCs w:val="28"/>
        </w:rPr>
        <w:t>для квартири/квартир</w:t>
      </w:r>
      <w:r>
        <w:rPr>
          <w:sz w:val="28"/>
          <w:szCs w:val="28"/>
        </w:rPr>
        <w:t xml:space="preserve"> незалежно від ї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 кількості - </w:t>
      </w:r>
      <w:r>
        <w:rPr>
          <w:b/>
          <w:color w:val="FF0000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65 кв. метрів"/>
        </w:smartTagPr>
        <w:r>
          <w:rPr>
            <w:b/>
            <w:color w:val="FF0000"/>
            <w:sz w:val="28"/>
            <w:szCs w:val="28"/>
          </w:rPr>
          <w:t>6</w:t>
        </w:r>
        <w:r>
          <w:rPr>
            <w:b/>
            <w:color w:val="FF0000"/>
            <w:sz w:val="28"/>
            <w:szCs w:val="28"/>
            <w:lang w:val="uk-UA"/>
          </w:rPr>
          <w:t>5</w:t>
        </w:r>
        <w:r>
          <w:rPr>
            <w:b/>
            <w:color w:val="FF0000"/>
            <w:sz w:val="28"/>
            <w:szCs w:val="28"/>
          </w:rPr>
          <w:t xml:space="preserve"> кв. метрів</w:t>
        </w:r>
      </w:smartTag>
      <w:r>
        <w:rPr>
          <w:sz w:val="28"/>
          <w:szCs w:val="28"/>
        </w:rPr>
        <w:t>;</w:t>
      </w:r>
    </w:p>
    <w:p w:rsidR="00DA71D9" w:rsidRDefault="00DA71D9" w:rsidP="00DA71D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 б) </w:t>
      </w:r>
      <w:r>
        <w:rPr>
          <w:b/>
          <w:sz w:val="28"/>
          <w:szCs w:val="28"/>
        </w:rPr>
        <w:t>для житлового будинку/будинків</w:t>
      </w:r>
      <w:r>
        <w:rPr>
          <w:sz w:val="28"/>
          <w:szCs w:val="28"/>
        </w:rPr>
        <w:t xml:space="preserve"> незалежно від ї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 кількості - </w:t>
      </w:r>
      <w:r>
        <w:rPr>
          <w:b/>
          <w:color w:val="FF0000"/>
          <w:sz w:val="28"/>
          <w:szCs w:val="28"/>
        </w:rPr>
        <w:t xml:space="preserve">на </w:t>
      </w:r>
      <w:r>
        <w:rPr>
          <w:b/>
          <w:color w:val="FF0000"/>
          <w:sz w:val="28"/>
          <w:szCs w:val="28"/>
          <w:lang w:val="uk-UA"/>
        </w:rPr>
        <w:t>20</w:t>
      </w:r>
      <w:r>
        <w:rPr>
          <w:b/>
          <w:color w:val="FF0000"/>
          <w:sz w:val="28"/>
          <w:szCs w:val="28"/>
        </w:rPr>
        <w:t>0 кв. метрів</w:t>
      </w:r>
      <w:r>
        <w:rPr>
          <w:color w:val="FF0000"/>
          <w:sz w:val="28"/>
          <w:szCs w:val="28"/>
        </w:rPr>
        <w:t>;</w:t>
      </w:r>
    </w:p>
    <w:p w:rsidR="00DA71D9" w:rsidRDefault="00DA71D9" w:rsidP="00DA71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в) </w:t>
      </w: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ізних типів об’єктів житлової нерухомості</w:t>
      </w:r>
      <w:r>
        <w:rPr>
          <w:sz w:val="28"/>
          <w:szCs w:val="28"/>
        </w:rPr>
        <w:t xml:space="preserve">, в тому числі їх часток (у разі одночасного перебування у власності платника податку квартири/квартир та житлового будинку/будинків, у тому числі їх часток), </w:t>
      </w:r>
      <w:r>
        <w:rPr>
          <w:b/>
          <w:sz w:val="28"/>
          <w:szCs w:val="28"/>
        </w:rPr>
        <w:t xml:space="preserve">- на </w:t>
      </w:r>
      <w:smartTag w:uri="urn:schemas-microsoft-com:office:smarttags" w:element="metricconverter">
        <w:smartTagPr>
          <w:attr w:name="ProductID" w:val="215 кв. метрів"/>
        </w:smartTagPr>
        <w:r>
          <w:rPr>
            <w:b/>
            <w:sz w:val="28"/>
            <w:szCs w:val="28"/>
            <w:lang w:val="uk-UA"/>
          </w:rPr>
          <w:t>215</w:t>
        </w:r>
        <w:r>
          <w:rPr>
            <w:b/>
            <w:sz w:val="28"/>
            <w:szCs w:val="28"/>
          </w:rPr>
          <w:t xml:space="preserve"> кв. метрі</w:t>
        </w:r>
        <w:r>
          <w:rPr>
            <w:sz w:val="28"/>
            <w:szCs w:val="28"/>
          </w:rPr>
          <w:t>в</w:t>
        </w:r>
      </w:smartTag>
      <w:r>
        <w:rPr>
          <w:sz w:val="28"/>
          <w:szCs w:val="28"/>
        </w:rPr>
        <w:t>.</w:t>
      </w:r>
    </w:p>
    <w:p w:rsidR="00DA71D9" w:rsidRDefault="00DA71D9" w:rsidP="00DA71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Таке зменшення надається один раз за кожний базовий податковий (звітний) період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ік).</w:t>
      </w:r>
    </w:p>
    <w:p w:rsidR="00DA71D9" w:rsidRDefault="00DA71D9" w:rsidP="00DA71D9">
      <w:pPr>
        <w:jc w:val="both"/>
        <w:rPr>
          <w:sz w:val="28"/>
          <w:szCs w:val="28"/>
        </w:rPr>
      </w:pPr>
    </w:p>
    <w:p w:rsidR="00DA71D9" w:rsidRDefault="00DA71D9" w:rsidP="00DA71D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Сільська рада може збільшувати граничну межу житлової нерухомості, на яку зменшується база оподаткування, встановлена цим підпунктом.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</w:p>
    <w:p w:rsidR="00DA71D9" w:rsidRDefault="00DA71D9" w:rsidP="00DA71D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5.2. </w:t>
      </w:r>
      <w:r>
        <w:rPr>
          <w:b/>
          <w:sz w:val="28"/>
          <w:szCs w:val="28"/>
          <w:lang w:val="uk-UA"/>
        </w:rPr>
        <w:t>Звільняються від сплати</w:t>
      </w:r>
      <w:r>
        <w:rPr>
          <w:sz w:val="28"/>
          <w:szCs w:val="28"/>
          <w:lang w:val="uk-UA"/>
        </w:rPr>
        <w:t xml:space="preserve"> податку на нерухоме майно об’єкти нежитлової нерухомості, </w:t>
      </w:r>
      <w:r>
        <w:rPr>
          <w:b/>
          <w:sz w:val="28"/>
          <w:szCs w:val="28"/>
          <w:lang w:val="uk-UA"/>
        </w:rPr>
        <w:t>що перебувають у власності релігійних організацій</w:t>
      </w:r>
      <w:r>
        <w:rPr>
          <w:sz w:val="28"/>
          <w:szCs w:val="28"/>
          <w:lang w:val="uk-UA"/>
        </w:rPr>
        <w:t xml:space="preserve">, статути (положення) яких зареєстровані у встановленому законом порядку, та використовуються для забезпечення діяльності, передбаченої такими статутами (положеннями). 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Пільги з податку, що сплачується на території сільської ради з об’єктів житлової нерухомості, для фізичних осіб </w:t>
      </w:r>
      <w:r>
        <w:rPr>
          <w:b/>
          <w:sz w:val="28"/>
          <w:szCs w:val="28"/>
          <w:lang w:val="uk-UA"/>
        </w:rPr>
        <w:t>не надаються на</w:t>
      </w:r>
      <w:r>
        <w:rPr>
          <w:sz w:val="28"/>
          <w:szCs w:val="28"/>
          <w:lang w:val="uk-UA"/>
        </w:rPr>
        <w:t>: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- об’єкт/об’єкти оподаткування, якщо площа такого/таких об’єкта/об’єктів перевищує п’ятикратний розмір неоподатковуваної площі, затвердженої рішенням органів місцевого самоврядування;</w:t>
      </w:r>
    </w:p>
    <w:p w:rsidR="00DA71D9" w:rsidRDefault="00DA71D9" w:rsidP="00DA71D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- </w:t>
      </w:r>
      <w:r>
        <w:rPr>
          <w:sz w:val="28"/>
          <w:szCs w:val="28"/>
        </w:rPr>
        <w:t>об’єкти оподаткування, що використовуються їх власниками з метою одержання доходів (здаються в оренду, лізинг, позичку, використовуються у підприємницькій діяльності).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Пільги з податку, що сплачується на відповідній території </w:t>
      </w:r>
      <w:r>
        <w:rPr>
          <w:b/>
          <w:sz w:val="28"/>
          <w:szCs w:val="28"/>
          <w:lang w:val="uk-UA"/>
        </w:rPr>
        <w:t>з об’єктів нежитлової нерухомості, встановлюються в залежності від майна,</w:t>
      </w:r>
      <w:r>
        <w:rPr>
          <w:sz w:val="28"/>
          <w:szCs w:val="28"/>
          <w:lang w:val="uk-UA"/>
        </w:rPr>
        <w:t xml:space="preserve"> яке є об’єктом оподаткування.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Сільська рада до 1 лютого поточного року подає до відповідного контролюючого органу за місцезнаходженням об’єкта житлової нерухомості відомості стосовно пільг, наданих нею відповідно до абзацу першого та другого цього підпункту.</w:t>
      </w:r>
    </w:p>
    <w:p w:rsidR="00DA71D9" w:rsidRDefault="00DA71D9" w:rsidP="00DA71D9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>
        <w:rPr>
          <w:b/>
          <w:sz w:val="28"/>
          <w:szCs w:val="28"/>
          <w:lang w:val="uk-UA"/>
        </w:rPr>
        <w:t>6. Ставка податку</w:t>
      </w:r>
    </w:p>
    <w:p w:rsidR="00DA71D9" w:rsidRDefault="00DA71D9" w:rsidP="00DA71D9">
      <w:pPr>
        <w:jc w:val="center"/>
        <w:rPr>
          <w:b/>
          <w:sz w:val="28"/>
          <w:szCs w:val="28"/>
          <w:lang w:val="uk-UA"/>
        </w:rPr>
      </w:pPr>
    </w:p>
    <w:p w:rsidR="00DA71D9" w:rsidRDefault="00DA71D9" w:rsidP="00DA71D9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6.1. Ставки податку для об’єктів житлової нерухомості, що перебувають у власності фізичних та юридичних осіб, встановлюються в розмірі 0,1 відсотка від  </w:t>
      </w:r>
      <w:r>
        <w:rPr>
          <w:b/>
          <w:sz w:val="28"/>
          <w:szCs w:val="28"/>
          <w:lang w:val="uk-UA"/>
        </w:rPr>
        <w:t xml:space="preserve">розміру мінімальної заробітної плати, встановленої законом на 1 січня звітного (податкового) року, за </w:t>
      </w:r>
      <w:smartTag w:uri="urn:schemas-microsoft-com:office:smarttags" w:element="metricconverter">
        <w:smartTagPr>
          <w:attr w:name="ProductID" w:val="1 кв. метр"/>
        </w:smartTagPr>
        <w:r>
          <w:rPr>
            <w:b/>
            <w:sz w:val="28"/>
            <w:szCs w:val="28"/>
            <w:lang w:val="uk-UA"/>
          </w:rPr>
          <w:t>1 кв. метр</w:t>
        </w:r>
      </w:smartTag>
      <w:r>
        <w:rPr>
          <w:b/>
          <w:sz w:val="28"/>
          <w:szCs w:val="28"/>
          <w:lang w:val="uk-UA"/>
        </w:rPr>
        <w:t xml:space="preserve"> бази оподаткування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.</w:t>
      </w:r>
    </w:p>
    <w:p w:rsidR="00DA71D9" w:rsidRDefault="00DA71D9" w:rsidP="00DA71D9">
      <w:pPr>
        <w:jc w:val="both"/>
        <w:rPr>
          <w:i/>
          <w:sz w:val="28"/>
          <w:szCs w:val="28"/>
          <w:lang w:val="uk-UA"/>
        </w:rPr>
      </w:pPr>
    </w:p>
    <w:p w:rsidR="00DA71D9" w:rsidRDefault="00DA71D9" w:rsidP="00DA71D9">
      <w:p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6.2</w:t>
      </w:r>
      <w:r>
        <w:rPr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Ставки податку для об’єктів нежитлової нерухомості, що перебувають у власності фізичних та юридичних осіб встановлюються в таких розмірах</w:t>
      </w:r>
      <w:r>
        <w:rPr>
          <w:b/>
          <w:sz w:val="28"/>
          <w:szCs w:val="28"/>
        </w:rPr>
        <w:t>:</w:t>
      </w:r>
    </w:p>
    <w:p w:rsidR="00DA71D9" w:rsidRDefault="00DA71D9" w:rsidP="00DA71D9">
      <w:pPr>
        <w:jc w:val="center"/>
        <w:rPr>
          <w:i/>
          <w:sz w:val="28"/>
          <w:szCs w:val="28"/>
          <w:lang w:val="uk-UA"/>
        </w:rPr>
      </w:pPr>
    </w:p>
    <w:tbl>
      <w:tblPr>
        <w:tblStyle w:val="5"/>
        <w:tblW w:w="8046" w:type="dxa"/>
        <w:tblInd w:w="0" w:type="dxa"/>
        <w:tblLook w:val="01E0"/>
      </w:tblPr>
      <w:tblGrid>
        <w:gridCol w:w="634"/>
        <w:gridCol w:w="4577"/>
        <w:gridCol w:w="1276"/>
        <w:gridCol w:w="1559"/>
      </w:tblGrid>
      <w:tr w:rsidR="00DA71D9" w:rsidTr="00DA71D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D9" w:rsidRDefault="00DA71D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</w:t>
            </w:r>
          </w:p>
          <w:p w:rsidR="00DA71D9" w:rsidRDefault="00DA71D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п/п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D9" w:rsidRDefault="00DA71D9">
            <w:pPr>
              <w:ind w:right="1208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Тип об’єкта нерухомості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D9" w:rsidRDefault="00DA71D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Ставка податку,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D9" w:rsidRDefault="00DA71D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Примітка  </w:t>
            </w:r>
          </w:p>
        </w:tc>
      </w:tr>
      <w:tr w:rsidR="00DA71D9" w:rsidTr="00DA71D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D9" w:rsidRDefault="00DA71D9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D9" w:rsidRDefault="00DA71D9">
            <w:pPr>
              <w:jc w:val="both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будівлі готельні</w:t>
            </w:r>
            <w:r>
              <w:rPr>
                <w:sz w:val="28"/>
                <w:szCs w:val="28"/>
                <w:lang w:val="uk-UA" w:eastAsia="en-US"/>
              </w:rPr>
              <w:t xml:space="preserve"> - готелі, мотелі, кемпінги, пансіонати, ресторани та бари, туристичні бази, гірські притулки, табори для відпочинку, будинки відпочинку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D9" w:rsidRDefault="00DA71D9">
            <w:pPr>
              <w:ind w:right="4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D9" w:rsidRDefault="00DA71D9">
            <w:pPr>
              <w:rPr>
                <w:sz w:val="20"/>
                <w:szCs w:val="20"/>
                <w:lang w:eastAsia="en-US"/>
              </w:rPr>
            </w:pPr>
          </w:p>
        </w:tc>
      </w:tr>
      <w:tr w:rsidR="00DA71D9" w:rsidTr="00DA71D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D9" w:rsidRDefault="00DA71D9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б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D9" w:rsidRDefault="00DA71D9">
            <w:pPr>
              <w:jc w:val="both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будівлі офісні</w:t>
            </w:r>
            <w:r>
              <w:rPr>
                <w:sz w:val="28"/>
                <w:szCs w:val="28"/>
                <w:lang w:val="uk-UA" w:eastAsia="en-US"/>
              </w:rPr>
              <w:t xml:space="preserve"> - будівлі фінансового обслуговування, адміністративно-побутові будівлі, будівлі для конторських та адміністративних цілей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D9" w:rsidRDefault="00DA71D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D9" w:rsidRDefault="00DA71D9">
            <w:pPr>
              <w:rPr>
                <w:sz w:val="20"/>
                <w:szCs w:val="20"/>
                <w:lang w:eastAsia="en-US"/>
              </w:rPr>
            </w:pPr>
          </w:p>
        </w:tc>
      </w:tr>
      <w:tr w:rsidR="00DA71D9" w:rsidTr="00DA71D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D9" w:rsidRDefault="00DA71D9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в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D9" w:rsidRDefault="00DA71D9">
            <w:pPr>
              <w:jc w:val="both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будівлі торговельні </w:t>
            </w:r>
            <w:r>
              <w:rPr>
                <w:sz w:val="28"/>
                <w:szCs w:val="28"/>
                <w:lang w:val="uk-UA" w:eastAsia="en-US"/>
              </w:rPr>
              <w:t>- торгові центри, універмаги, магазини, криті ринки, павільйони та зали для ярмарків, станції технічного обслуговування автомобілів, їдальні, кафе, закусочні, бази та склади підприємств торгівлі й громадського харчування, будівлі підприємств побутового обслуговування;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D9" w:rsidRDefault="00DA71D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D9" w:rsidRDefault="00DA71D9">
            <w:pPr>
              <w:rPr>
                <w:sz w:val="20"/>
                <w:szCs w:val="20"/>
                <w:lang w:eastAsia="en-US"/>
              </w:rPr>
            </w:pPr>
          </w:p>
        </w:tc>
      </w:tr>
      <w:tr w:rsidR="00DA71D9" w:rsidTr="00DA71D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D9" w:rsidRDefault="00DA71D9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г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D9" w:rsidRDefault="00DA71D9">
            <w:pPr>
              <w:jc w:val="both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гаражі </w:t>
            </w:r>
            <w:r>
              <w:rPr>
                <w:sz w:val="28"/>
                <w:szCs w:val="28"/>
                <w:lang w:val="uk-UA" w:eastAsia="en-US"/>
              </w:rPr>
              <w:t>- гаражі (наземні й підземні) та криті автомобільні стоянки;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D9" w:rsidRDefault="00DA71D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D9" w:rsidRDefault="00DA71D9">
            <w:pPr>
              <w:rPr>
                <w:sz w:val="20"/>
                <w:szCs w:val="20"/>
                <w:lang w:eastAsia="en-US"/>
              </w:rPr>
            </w:pPr>
          </w:p>
        </w:tc>
      </w:tr>
      <w:tr w:rsidR="00DA71D9" w:rsidTr="00DA71D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D9" w:rsidRDefault="00DA71D9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д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D9" w:rsidRDefault="00DA71D9">
            <w:pPr>
              <w:jc w:val="both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будівлі для публічних виступів (казино, ігорні будинки)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D9" w:rsidRDefault="00DA71D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D9" w:rsidRDefault="00DA71D9">
            <w:pPr>
              <w:rPr>
                <w:sz w:val="20"/>
                <w:szCs w:val="20"/>
                <w:lang w:eastAsia="en-US"/>
              </w:rPr>
            </w:pPr>
          </w:p>
        </w:tc>
      </w:tr>
      <w:tr w:rsidR="00DA71D9" w:rsidTr="00DA71D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D9" w:rsidRDefault="00DA71D9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е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D9" w:rsidRDefault="00DA71D9">
            <w:pPr>
              <w:jc w:val="both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господарські (присадибні) будівлі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D9" w:rsidRDefault="00DA71D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D9" w:rsidRDefault="00DA71D9">
            <w:pPr>
              <w:rPr>
                <w:sz w:val="20"/>
                <w:szCs w:val="20"/>
                <w:lang w:eastAsia="en-US"/>
              </w:rPr>
            </w:pPr>
          </w:p>
        </w:tc>
      </w:tr>
      <w:tr w:rsidR="00DA71D9" w:rsidTr="00DA71D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D9" w:rsidRDefault="00DA71D9">
            <w:pPr>
              <w:jc w:val="center"/>
              <w:rPr>
                <w:i/>
                <w:color w:val="000000"/>
                <w:sz w:val="28"/>
                <w:szCs w:val="28"/>
                <w:lang w:val="uk-UA" w:eastAsia="en-US"/>
              </w:rPr>
            </w:pPr>
            <w:r>
              <w:rPr>
                <w:i/>
                <w:color w:val="000000"/>
                <w:sz w:val="28"/>
                <w:szCs w:val="28"/>
                <w:lang w:val="uk-UA" w:eastAsia="en-US"/>
              </w:rPr>
              <w:t>є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D9" w:rsidRDefault="00DA71D9">
            <w:pPr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 w:eastAsia="en-US"/>
              </w:rPr>
              <w:t xml:space="preserve">інші будівлі 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 xml:space="preserve">(автозаправочні станції,  та інші) </w:t>
            </w:r>
          </w:p>
          <w:p w:rsidR="00DA71D9" w:rsidRDefault="00DA71D9">
            <w:pPr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аптеки</w:t>
            </w:r>
          </w:p>
          <w:p w:rsidR="00DA71D9" w:rsidRDefault="00DA71D9">
            <w:pPr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</w:p>
          <w:p w:rsidR="00DA71D9" w:rsidRDefault="00DA71D9">
            <w:pPr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</w:p>
          <w:p w:rsidR="00DA71D9" w:rsidRDefault="00DA71D9">
            <w:pPr>
              <w:jc w:val="both"/>
              <w:rPr>
                <w:i/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lastRenderedPageBreak/>
              <w:t>АЗС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D9" w:rsidRDefault="00DA71D9">
            <w:pPr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</w:p>
          <w:p w:rsidR="00DA71D9" w:rsidRDefault="00DA71D9">
            <w:pPr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0,5</w:t>
            </w:r>
          </w:p>
          <w:p w:rsidR="00DA71D9" w:rsidRDefault="00DA71D9">
            <w:pPr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</w:p>
          <w:p w:rsidR="00DA71D9" w:rsidRDefault="00DA71D9">
            <w:pPr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</w:p>
          <w:p w:rsidR="00DA71D9" w:rsidRDefault="00DA71D9">
            <w:pPr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D9" w:rsidRDefault="00DA71D9">
            <w:pPr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DA71D9" w:rsidTr="00DA71D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D9" w:rsidRDefault="00DA71D9">
            <w:pPr>
              <w:jc w:val="center"/>
              <w:rPr>
                <w:i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D9" w:rsidRDefault="00DA71D9">
            <w:pPr>
              <w:jc w:val="both"/>
              <w:rPr>
                <w:b/>
                <w:i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D9" w:rsidRDefault="00DA71D9">
            <w:pPr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D9" w:rsidRDefault="00DA71D9">
            <w:pPr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</w:tr>
    </w:tbl>
    <w:p w:rsidR="00DA71D9" w:rsidRDefault="00DA71D9" w:rsidP="00DA71D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</w:t>
      </w:r>
    </w:p>
    <w:p w:rsidR="00DA71D9" w:rsidRDefault="00DA71D9" w:rsidP="00DA71D9">
      <w:pPr>
        <w:ind w:left="2832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7. Податковий період</w:t>
      </w:r>
    </w:p>
    <w:p w:rsidR="00DA71D9" w:rsidRDefault="00DA71D9" w:rsidP="00DA71D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7</w:t>
      </w:r>
      <w:r>
        <w:rPr>
          <w:sz w:val="28"/>
          <w:szCs w:val="28"/>
        </w:rPr>
        <w:t xml:space="preserve">.1. Базовий податковий (звітний) період дорівнює календарному року. 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DA71D9" w:rsidRDefault="00DA71D9" w:rsidP="00DA71D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 Порядок обчислення суми податку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8.1. Обчислення суми податку з об’єкта/об’єктів </w:t>
      </w:r>
      <w:r>
        <w:rPr>
          <w:b/>
          <w:sz w:val="28"/>
          <w:szCs w:val="28"/>
          <w:lang w:val="uk-UA"/>
        </w:rPr>
        <w:t>житлової нерухомості</w:t>
      </w:r>
      <w:r>
        <w:rPr>
          <w:sz w:val="28"/>
          <w:szCs w:val="28"/>
          <w:lang w:val="uk-UA"/>
        </w:rPr>
        <w:t xml:space="preserve">, які перебувають у власності фізичних осіб, здійснюється контролюючим органом </w:t>
      </w:r>
      <w:r>
        <w:rPr>
          <w:b/>
          <w:sz w:val="28"/>
          <w:szCs w:val="28"/>
          <w:lang w:val="uk-UA"/>
        </w:rPr>
        <w:t xml:space="preserve">за місцем податкової адреси (місцем реєстрації) власника такої нерухомості </w:t>
      </w:r>
      <w:r>
        <w:rPr>
          <w:sz w:val="28"/>
          <w:szCs w:val="28"/>
          <w:lang w:val="uk-UA"/>
        </w:rPr>
        <w:t>у такому порядку: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а) за наявності у власності платника податку одного об’єкта житлової нерухомості, в тому числі його частки, податок обчислюється, виходячи з бази оподаткування, зменшеної відповідно до підпунктів "а" або "б" пункту 5.1 цього положення та відповідної ставки податку;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б) за наявності у власності платника податку більше одного об’єкта житлової нерухомості одного типу, в тому числі їх часток, податок обчислюється виходячи із сумарної загальної площі таких об’єктів, зменшеної відповідно до підпунктів "а" або "б" пункту 5.1 цього положення та відповідної ставки податку;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в) за наявності у власності платника податку об’єктів житлової нерухомості різних видів, у тому числі їх часток, податок обчислюється виходячи із сумарної загальної площі таких об’єктів, зменшеної відповідно до підпункту "в" пункту 5.1.  цього положення та відповідної ставки податку;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г) сума податку, обчислена з урахуванням підпунктів 2 і 3 цього підпункту, розподіляється контролюючим органом пропорційно до питомої ваги загальної площі кожного з об’єктів житлової нерухомості.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Обчислення суми податку з об’єкта/об’єктів нежитлової нерухомості, які перебувають у власності фізичних осіб, здійснюється контролюючим органом за місцем податкової адреси (місцем реєстрації) власника такої нерухомості, виходячи із загальної площі кожного з об’єктів нежитлової нерухомості та відповідної ставки податку.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8.2. Податкове/податкові повідомлення-рішення про сплату суми/сум податку, обчисленого згідно з підпунктом 8.1 пункту 8 цього Положення, та відповідні платіжні реквізити, зокрема, Добрянської сільської ради за місцезнаходженням кожного з об’єктів житлової та/або нежитлової нерухомості, надсилаються (вручаються) платнику податку контролюючим органом за місцем його податкової адреси (місцем реєстрації) до 1 липня року, що настає за базовим податковим (звітним) періодом (роком). </w:t>
      </w:r>
    </w:p>
    <w:p w:rsidR="00DA71D9" w:rsidRDefault="00DA71D9" w:rsidP="00DA71D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>Щодо новоствореного (нововведеного) об’єкта житлової та/або нежитлової нерухомості податок сплачується фізичною особою-платником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починаючи з місяця, в якому виникло право власності на такий об’єкт.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Контролюючі органи за місцем проживання (реєстрації) платників податку в десятиденний строк інформують відповідні контролюючі органи за місцезнаходженням об’єктів житлової та/або нежитлової нерухомості про </w:t>
      </w:r>
      <w:r>
        <w:rPr>
          <w:sz w:val="28"/>
          <w:szCs w:val="28"/>
          <w:lang w:val="uk-UA"/>
        </w:rPr>
        <w:lastRenderedPageBreak/>
        <w:t>надіслані (вручені) платнику податку податкові повідомлення-рішення про сплату податку у порядку, встановленому центральним органом виконавчої влади, що забезпечує формування та реалізує державну податкову і митну політику.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Нарахування податку та надсилання (вручення) податкових повідомлень-рішень про сплату податку фізичним особам - нерезидентам здійснюють контролюючі органи за місцезнаходженням об’єктів житлової та/або нежитлової нерухомості, що перебувають у власності таких нерезидентів.</w:t>
      </w:r>
    </w:p>
    <w:p w:rsidR="00DA71D9" w:rsidRDefault="00DA71D9" w:rsidP="00DA71D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8</w:t>
      </w:r>
      <w:r>
        <w:rPr>
          <w:sz w:val="28"/>
          <w:szCs w:val="28"/>
        </w:rPr>
        <w:t>.3.Платники податку мають право звернутися з письмовою заявою до контролюючого органу за місцем проживання (реєстрації) для проведення звірки даних щодо:</w:t>
      </w:r>
    </w:p>
    <w:p w:rsidR="00DA71D9" w:rsidRDefault="00DA71D9" w:rsidP="00DA71D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- </w:t>
      </w:r>
      <w:r>
        <w:rPr>
          <w:sz w:val="28"/>
          <w:szCs w:val="28"/>
        </w:rPr>
        <w:t>об’єктів житлової та/або нежитлової нерухомості, в тому числі їх часток, що перебувають у власності платника податку;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розміру загальної площі об’єктів житлової та/або нежитлової нерухомості, що перебувають у власності платника податку;</w:t>
      </w:r>
    </w:p>
    <w:p w:rsidR="00DA71D9" w:rsidRDefault="00DA71D9" w:rsidP="00DA71D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- </w:t>
      </w:r>
      <w:r>
        <w:rPr>
          <w:sz w:val="28"/>
          <w:szCs w:val="28"/>
        </w:rPr>
        <w:t xml:space="preserve"> права на користування пільгою із сплати податку; </w:t>
      </w:r>
    </w:p>
    <w:p w:rsidR="00DA71D9" w:rsidRDefault="00DA71D9" w:rsidP="00DA71D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-</w:t>
      </w:r>
      <w:r>
        <w:rPr>
          <w:sz w:val="28"/>
          <w:szCs w:val="28"/>
        </w:rPr>
        <w:t xml:space="preserve"> розміру ставки податку; </w:t>
      </w:r>
    </w:p>
    <w:p w:rsidR="00DA71D9" w:rsidRDefault="00DA71D9" w:rsidP="00DA71D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-</w:t>
      </w:r>
      <w:r>
        <w:rPr>
          <w:sz w:val="28"/>
          <w:szCs w:val="28"/>
        </w:rPr>
        <w:t xml:space="preserve"> нарахованої суми податку.</w:t>
      </w:r>
    </w:p>
    <w:p w:rsidR="00DA71D9" w:rsidRDefault="00DA71D9" w:rsidP="00DA71D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У разі виявлення розбіжностей між даними контролюючих органів та даними, підтвердженими платником податку на підставі оригіналів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ідповідних документів, зокрема документів на право власності, контролюючий орган за місцем проживання (реєстрації) платника податку проводить перерахунок суми податку і надсилає (вручає) йому нове податкове повідомлення-рішення. Попереднє податкове повідомлення-рішення вважається скасованим (відкликаним).</w:t>
      </w:r>
    </w:p>
    <w:p w:rsidR="00DA71D9" w:rsidRDefault="00DA71D9" w:rsidP="00DA71D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8.4.</w:t>
      </w:r>
      <w:r>
        <w:rPr>
          <w:sz w:val="28"/>
          <w:szCs w:val="28"/>
        </w:rPr>
        <w:t xml:space="preserve"> Органи державної реєстрації прав на нерухоме майно, а також органи, що здійснюють реєстрацію місця проживання фізичних осіб, зобов’язані щоквартально у 15-денний строк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ісля закінчення податкового (звітного) кварталу подавати контролюючим органам відомості, необхідні для розрахунку податку, за місцем розташування такого об’єкта нерухомого майна станом на перше число відповідного кварталу в порядку, визначеному Кабінетом Міні</w:t>
      </w: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ів України.</w:t>
      </w:r>
    </w:p>
    <w:p w:rsidR="00DA71D9" w:rsidRDefault="00DA71D9" w:rsidP="00DA71D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8.5</w:t>
      </w:r>
      <w:r>
        <w:rPr>
          <w:sz w:val="28"/>
          <w:szCs w:val="28"/>
        </w:rPr>
        <w:t xml:space="preserve">. Платники податку -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об’єкта/об’єктів оподаткування декларацію за формою, встановленою у порядку, передбаченому статтею 46 </w:t>
      </w:r>
      <w:r>
        <w:rPr>
          <w:sz w:val="28"/>
          <w:szCs w:val="28"/>
          <w:lang w:val="uk-UA"/>
        </w:rPr>
        <w:t>Податкового</w:t>
      </w:r>
      <w:r>
        <w:rPr>
          <w:sz w:val="28"/>
          <w:szCs w:val="28"/>
        </w:rPr>
        <w:t xml:space="preserve"> Кодексу, з розбивкою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ічної суми рівними частками поквартально.</w:t>
      </w:r>
    </w:p>
    <w:p w:rsidR="00DA71D9" w:rsidRDefault="00DA71D9" w:rsidP="00DA71D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Щодо новоствореного (нововведеного) об’єкта житлової та/або нежитлової нерухомості декларація юридичною особою - платником </w:t>
      </w:r>
      <w:proofErr w:type="gramStart"/>
      <w:r>
        <w:rPr>
          <w:sz w:val="28"/>
          <w:szCs w:val="28"/>
        </w:rPr>
        <w:t>подається</w:t>
      </w:r>
      <w:proofErr w:type="gramEnd"/>
      <w:r>
        <w:rPr>
          <w:sz w:val="28"/>
          <w:szCs w:val="28"/>
        </w:rPr>
        <w:t xml:space="preserve"> протягом 30 календарних днів з дня виникнення права власності на такий об’єкт, а податок сплачується починаючи з місяця, в якому виникло право власності на такий об’єкт.</w:t>
      </w:r>
    </w:p>
    <w:p w:rsidR="00DA71D9" w:rsidRDefault="00DA71D9" w:rsidP="00DA71D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8.6.</w:t>
      </w:r>
      <w:r>
        <w:rPr>
          <w:sz w:val="28"/>
          <w:szCs w:val="28"/>
        </w:rPr>
        <w:t xml:space="preserve"> Порядок обчислення сум податку в разі зміни власника об’єкта оподаткування податком </w:t>
      </w:r>
    </w:p>
    <w:p w:rsidR="00DA71D9" w:rsidRDefault="00DA71D9" w:rsidP="00DA71D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8.7.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разі переходу права власності на об’єкт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місяця, в якому він втратив право власності на зазначений об’єкт оподаткування, а для нового власника - починаючи з місяця, в якому</w:t>
      </w:r>
      <w:proofErr w:type="gramEnd"/>
      <w:r>
        <w:rPr>
          <w:sz w:val="28"/>
          <w:szCs w:val="28"/>
        </w:rPr>
        <w:t xml:space="preserve"> виникло право власності.</w:t>
      </w:r>
    </w:p>
    <w:p w:rsidR="00DA71D9" w:rsidRDefault="00DA71D9" w:rsidP="00DA71D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8.8.</w:t>
      </w:r>
      <w:r>
        <w:rPr>
          <w:sz w:val="28"/>
          <w:szCs w:val="28"/>
        </w:rPr>
        <w:t xml:space="preserve"> Контролюючий орган надсилає податкове повідомлення-рішення новому власнику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ісля отримання інформації про перехід права власності. 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</w:p>
    <w:p w:rsidR="00DA71D9" w:rsidRDefault="00DA71D9" w:rsidP="00DA71D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 Порядок сплати податку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9.1. Податок сплачується за місцем розташування об’єкта/об’єктів оподаткування і зараховується до відповідного бюджету згідно з положеннями Бюджетного кодексу України.</w:t>
      </w:r>
    </w:p>
    <w:p w:rsidR="00DA71D9" w:rsidRDefault="00DA71D9" w:rsidP="00DA71D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>Фізичні особи можуть сплачувати податок у сільській та селищній місцевості через каси сільських (селищних) рад за квитанцією про прийняття податкі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DA71D9" w:rsidRDefault="00DA71D9" w:rsidP="00DA71D9">
      <w:pPr>
        <w:jc w:val="both"/>
        <w:rPr>
          <w:sz w:val="28"/>
          <w:szCs w:val="28"/>
        </w:rPr>
      </w:pPr>
    </w:p>
    <w:p w:rsidR="00DA71D9" w:rsidRDefault="00DA71D9" w:rsidP="00DA7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Строки сплати податку</w:t>
      </w:r>
    </w:p>
    <w:p w:rsidR="00DA71D9" w:rsidRDefault="00DA71D9" w:rsidP="00DA71D9">
      <w:pPr>
        <w:jc w:val="both"/>
        <w:rPr>
          <w:sz w:val="28"/>
          <w:szCs w:val="28"/>
        </w:rPr>
      </w:pPr>
    </w:p>
    <w:p w:rsidR="00DA71D9" w:rsidRDefault="00DA71D9" w:rsidP="00DA71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10.1. Податкове зобов’язання за звітний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 з податку сплачується:</w:t>
      </w:r>
    </w:p>
    <w:p w:rsidR="00DA71D9" w:rsidRDefault="00DA71D9" w:rsidP="00DA71D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а) фізичними особами - протягом 60 днів з дня вручення податкового повідомлення-рішення;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б) юридичними особами - авансовими внесками щокварталу до 30 числа місяця, що наступає за звітним кварталом, які відображаються в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ічній податковій декларації";</w:t>
      </w:r>
    </w:p>
    <w:p w:rsidR="00DA71D9" w:rsidRDefault="00DA71D9" w:rsidP="00DA71D9">
      <w:pPr>
        <w:jc w:val="both"/>
        <w:rPr>
          <w:sz w:val="28"/>
          <w:szCs w:val="28"/>
          <w:lang w:val="uk-UA"/>
        </w:rPr>
      </w:pPr>
    </w:p>
    <w:p w:rsidR="00DA71D9" w:rsidRDefault="00DA71D9" w:rsidP="00DA71D9">
      <w:pPr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Примітка: Положення розроблено  відповідно до Статті 266 із змінами, внесеними згідно із Законами № 3609-</w:t>
      </w:r>
      <w:r>
        <w:rPr>
          <w:b/>
          <w:i/>
          <w:sz w:val="28"/>
          <w:szCs w:val="28"/>
        </w:rPr>
        <w:t>VI</w:t>
      </w:r>
      <w:r>
        <w:rPr>
          <w:b/>
          <w:i/>
          <w:sz w:val="28"/>
          <w:szCs w:val="28"/>
          <w:lang w:val="uk-UA"/>
        </w:rPr>
        <w:t xml:space="preserve"> від 07.07.2011, № 4834-</w:t>
      </w:r>
      <w:r>
        <w:rPr>
          <w:b/>
          <w:i/>
          <w:sz w:val="28"/>
          <w:szCs w:val="28"/>
        </w:rPr>
        <w:t>VI</w:t>
      </w:r>
      <w:r>
        <w:rPr>
          <w:b/>
          <w:i/>
          <w:sz w:val="28"/>
          <w:szCs w:val="28"/>
          <w:lang w:val="uk-UA"/>
        </w:rPr>
        <w:t xml:space="preserve"> від 24.05.2012; в редакції Закону № 71-</w:t>
      </w:r>
      <w:r>
        <w:rPr>
          <w:b/>
          <w:i/>
          <w:sz w:val="28"/>
          <w:szCs w:val="28"/>
        </w:rPr>
        <w:t>VIII</w:t>
      </w:r>
      <w:r>
        <w:rPr>
          <w:b/>
          <w:i/>
          <w:sz w:val="28"/>
          <w:szCs w:val="28"/>
          <w:lang w:val="uk-UA"/>
        </w:rPr>
        <w:t xml:space="preserve"> від 28.12.2014.</w:t>
      </w:r>
    </w:p>
    <w:p w:rsidR="00DA71D9" w:rsidRDefault="00DA71D9" w:rsidP="00DA71D9">
      <w:pPr>
        <w:tabs>
          <w:tab w:val="left" w:pos="540"/>
          <w:tab w:val="left" w:pos="720"/>
        </w:tabs>
        <w:suppressAutoHyphens/>
        <w:jc w:val="right"/>
        <w:rPr>
          <w:sz w:val="28"/>
          <w:szCs w:val="28"/>
          <w:lang w:val="uk-UA"/>
        </w:rPr>
      </w:pPr>
    </w:p>
    <w:p w:rsidR="00DA71D9" w:rsidRDefault="00DA71D9" w:rsidP="00DA71D9">
      <w:pPr>
        <w:tabs>
          <w:tab w:val="left" w:pos="540"/>
          <w:tab w:val="left" w:pos="720"/>
        </w:tabs>
        <w:suppressAutoHyphens/>
        <w:rPr>
          <w:sz w:val="28"/>
          <w:szCs w:val="28"/>
          <w:lang w:val="uk-UA"/>
        </w:rPr>
      </w:pPr>
    </w:p>
    <w:p w:rsidR="00DA71D9" w:rsidRDefault="00DA71D9" w:rsidP="00DA71D9">
      <w:pPr>
        <w:tabs>
          <w:tab w:val="left" w:pos="540"/>
          <w:tab w:val="left" w:pos="720"/>
        </w:tabs>
        <w:suppressAutoHyphens/>
        <w:rPr>
          <w:sz w:val="28"/>
          <w:szCs w:val="28"/>
          <w:lang w:val="uk-UA"/>
        </w:rPr>
      </w:pPr>
    </w:p>
    <w:p w:rsidR="00DA71D9" w:rsidRDefault="00DA71D9" w:rsidP="00DA71D9">
      <w:pPr>
        <w:tabs>
          <w:tab w:val="left" w:pos="540"/>
          <w:tab w:val="left" w:pos="720"/>
        </w:tabs>
        <w:suppressAutoHyphens/>
        <w:rPr>
          <w:sz w:val="28"/>
          <w:szCs w:val="28"/>
          <w:lang w:val="uk-UA"/>
        </w:rPr>
      </w:pPr>
    </w:p>
    <w:p w:rsidR="00DA71D9" w:rsidRDefault="00DA71D9" w:rsidP="00DA71D9">
      <w:pPr>
        <w:tabs>
          <w:tab w:val="left" w:pos="540"/>
          <w:tab w:val="left" w:pos="720"/>
        </w:tabs>
        <w:suppressAutoHyphens/>
        <w:rPr>
          <w:sz w:val="28"/>
          <w:szCs w:val="28"/>
          <w:lang w:val="uk-UA"/>
        </w:rPr>
      </w:pPr>
    </w:p>
    <w:p w:rsidR="00DA71D9" w:rsidRDefault="00DA71D9" w:rsidP="00DA71D9">
      <w:pPr>
        <w:tabs>
          <w:tab w:val="left" w:pos="540"/>
          <w:tab w:val="left" w:pos="720"/>
        </w:tabs>
        <w:suppressAutoHyphens/>
        <w:rPr>
          <w:sz w:val="28"/>
          <w:szCs w:val="28"/>
          <w:lang w:val="uk-UA"/>
        </w:rPr>
      </w:pPr>
    </w:p>
    <w:p w:rsidR="00DA71D9" w:rsidRDefault="00DA71D9" w:rsidP="00DA71D9">
      <w:pPr>
        <w:tabs>
          <w:tab w:val="left" w:pos="540"/>
          <w:tab w:val="left" w:pos="720"/>
        </w:tabs>
        <w:suppressAutoHyphens/>
        <w:rPr>
          <w:sz w:val="28"/>
          <w:szCs w:val="28"/>
          <w:lang w:val="uk-UA"/>
        </w:rPr>
      </w:pPr>
    </w:p>
    <w:p w:rsidR="00DA71D9" w:rsidRDefault="00DA71D9" w:rsidP="00DA71D9">
      <w:pPr>
        <w:tabs>
          <w:tab w:val="left" w:pos="540"/>
          <w:tab w:val="left" w:pos="720"/>
        </w:tabs>
        <w:suppressAutoHyphens/>
        <w:rPr>
          <w:sz w:val="28"/>
          <w:szCs w:val="28"/>
          <w:lang w:val="uk-UA"/>
        </w:rPr>
      </w:pPr>
    </w:p>
    <w:p w:rsidR="00740BD4" w:rsidRPr="00DA71D9" w:rsidRDefault="00740BD4">
      <w:pPr>
        <w:rPr>
          <w:lang w:val="uk-UA"/>
        </w:rPr>
      </w:pPr>
    </w:p>
    <w:sectPr w:rsidR="00740BD4" w:rsidRPr="00DA71D9" w:rsidSect="00740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A71D9"/>
    <w:rsid w:val="00740BD4"/>
    <w:rsid w:val="00DA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1D9"/>
    <w:pPr>
      <w:spacing w:after="0" w:line="240" w:lineRule="auto"/>
    </w:pPr>
    <w:rPr>
      <w:rFonts w:eastAsiaTheme="minorEastAsia"/>
      <w:lang w:eastAsia="ru-RU"/>
    </w:rPr>
  </w:style>
  <w:style w:type="table" w:customStyle="1" w:styleId="5">
    <w:name w:val="Сетка таблицы5"/>
    <w:basedOn w:val="a1"/>
    <w:rsid w:val="00DA7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7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4272</Words>
  <Characters>24355</Characters>
  <Application>Microsoft Office Word</Application>
  <DocSecurity>0</DocSecurity>
  <Lines>202</Lines>
  <Paragraphs>57</Paragraphs>
  <ScaleCrop>false</ScaleCrop>
  <Company>Microsoft</Company>
  <LinksUpToDate>false</LinksUpToDate>
  <CharactersWithSpaces>28570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2015-02-18T09:37:00Z</dcterms:created>
  <dcterms:modified xsi:type="dcterms:W3CDTF">2015-02-18T09:37:00Z</dcterms:modified>
</cp:coreProperties>
</file>